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D7644" w14:textId="60406EE5" w:rsidR="00194C38" w:rsidRPr="00822C9F" w:rsidRDefault="00194C38" w:rsidP="004422C9">
      <w:pPr>
        <w:jc w:val="center"/>
        <w:rPr>
          <w:b/>
          <w:sz w:val="48"/>
        </w:rPr>
      </w:pPr>
    </w:p>
    <w:p w14:paraId="2DAAD44E" w14:textId="77777777" w:rsidR="004422C9" w:rsidRDefault="004422C9" w:rsidP="004422C9">
      <w:pPr>
        <w:jc w:val="center"/>
        <w:rPr>
          <w:b/>
          <w:color w:val="44546A" w:themeColor="text2"/>
          <w:sz w:val="3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4820"/>
      </w:tblGrid>
      <w:tr w:rsidR="00AF250F" w:rsidRPr="00B008EC" w14:paraId="34E053DE" w14:textId="77777777" w:rsidTr="003C34C2">
        <w:tc>
          <w:tcPr>
            <w:tcW w:w="4603" w:type="dxa"/>
            <w:tcBorders>
              <w:top w:val="single" w:sz="4" w:space="0" w:color="auto"/>
              <w:bottom w:val="single" w:sz="4" w:space="0" w:color="auto"/>
            </w:tcBorders>
            <w:vAlign w:val="center"/>
          </w:tcPr>
          <w:p w14:paraId="0D9F7B4C" w14:textId="77777777" w:rsidR="00AF250F" w:rsidRPr="009B0E5C" w:rsidRDefault="00AF250F" w:rsidP="003C34C2">
            <w:pPr>
              <w:ind w:right="-235"/>
              <w:jc w:val="center"/>
              <w:rPr>
                <w:rFonts w:ascii="Verdana" w:hAnsi="Verdana"/>
                <w:b/>
                <w:noProof/>
                <w:sz w:val="20"/>
              </w:rPr>
            </w:pPr>
          </w:p>
          <w:p w14:paraId="3A49C69C" w14:textId="77777777" w:rsidR="00AF250F" w:rsidRPr="00FF6FDC" w:rsidRDefault="00AF250F" w:rsidP="003C34C2">
            <w:pPr>
              <w:pStyle w:val="Corpsdetexte2"/>
              <w:rPr>
                <w:rFonts w:ascii="Verdana" w:hAnsi="Verdana"/>
                <w:b/>
                <w:sz w:val="24"/>
                <w:szCs w:val="24"/>
              </w:rPr>
            </w:pPr>
            <w:r w:rsidRPr="00FF6FDC">
              <w:rPr>
                <w:rFonts w:ascii="Verdana" w:hAnsi="Verdana"/>
                <w:b/>
                <w:sz w:val="24"/>
                <w:szCs w:val="24"/>
              </w:rPr>
              <w:t xml:space="preserve">Direction des Statistiques Monétaires et Financières </w:t>
            </w:r>
          </w:p>
          <w:p w14:paraId="3B552AC2" w14:textId="77777777" w:rsidR="00AF250F" w:rsidRDefault="00AF250F" w:rsidP="003C34C2">
            <w:pPr>
              <w:pStyle w:val="Corpsdetexte2"/>
              <w:rPr>
                <w:rFonts w:ascii="Verdana" w:hAnsi="Verdana"/>
                <w:b/>
              </w:rPr>
            </w:pPr>
          </w:p>
          <w:p w14:paraId="4D563762" w14:textId="77777777" w:rsidR="00AF250F" w:rsidRPr="00FF6FDC" w:rsidRDefault="00AF250F" w:rsidP="003C34C2">
            <w:pPr>
              <w:pStyle w:val="Corpsdetexte2"/>
              <w:rPr>
                <w:rFonts w:ascii="Verdana" w:hAnsi="Verdana"/>
                <w:b/>
                <w:i/>
                <w:noProof/>
              </w:rPr>
            </w:pPr>
            <w:r w:rsidRPr="00FF6FDC">
              <w:rPr>
                <w:rFonts w:ascii="Verdana" w:hAnsi="Verdana"/>
                <w:b/>
                <w:i/>
              </w:rPr>
              <w:t>Service de l’Épargne Financière et de la Titrisation</w:t>
            </w:r>
          </w:p>
          <w:p w14:paraId="7F977B72" w14:textId="77777777" w:rsidR="00AF250F" w:rsidRPr="004914AF" w:rsidRDefault="00AF250F" w:rsidP="003C34C2">
            <w:pPr>
              <w:pStyle w:val="Retraitnormal"/>
              <w:shd w:val="clear" w:color="auto" w:fill="auto"/>
              <w:ind w:left="0" w:right="-235"/>
              <w:jc w:val="center"/>
              <w:rPr>
                <w:rFonts w:ascii="Verdana" w:hAnsi="Verdana"/>
              </w:rPr>
            </w:pPr>
          </w:p>
        </w:tc>
        <w:tc>
          <w:tcPr>
            <w:tcW w:w="4820" w:type="dxa"/>
            <w:tcBorders>
              <w:top w:val="single" w:sz="4" w:space="0" w:color="auto"/>
              <w:bottom w:val="single" w:sz="4" w:space="0" w:color="auto"/>
            </w:tcBorders>
            <w:vAlign w:val="center"/>
          </w:tcPr>
          <w:p w14:paraId="7167C43D" w14:textId="5F0BA60B" w:rsidR="00AF250F" w:rsidRPr="009B0E5C" w:rsidRDefault="004F0006" w:rsidP="003C34C2">
            <w:pPr>
              <w:pStyle w:val="Retraitnormal"/>
              <w:shd w:val="clear" w:color="auto" w:fill="auto"/>
              <w:ind w:left="0" w:right="0"/>
              <w:jc w:val="center"/>
              <w:rPr>
                <w:rFonts w:ascii="Verdana" w:hAnsi="Verdana"/>
                <w:b/>
              </w:rPr>
            </w:pPr>
            <w:r w:rsidRPr="004F0006">
              <w:rPr>
                <w:rFonts w:ascii="Verdana" w:hAnsi="Verdana"/>
                <w:b/>
                <w:noProof/>
              </w:rPr>
              <w:drawing>
                <wp:inline distT="0" distB="0" distL="0" distR="0" wp14:anchorId="4689ABEE" wp14:editId="6DD6A883">
                  <wp:extent cx="2165350" cy="1009015"/>
                  <wp:effectExtent l="0" t="0" r="6350" b="635"/>
                  <wp:docPr id="1" name="Image 1" descr="C:\Users\s842068\AppData\Local\Microsoft\Windows\INetCache\Content.Outlook\PB3SKBIP\Logo_BDF_noir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842068\AppData\Local\Microsoft\Windows\INetCache\Content.Outlook\PB3SKBIP\Logo_BDF_noir_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0" cy="1009015"/>
                          </a:xfrm>
                          <a:prstGeom prst="rect">
                            <a:avLst/>
                          </a:prstGeom>
                          <a:noFill/>
                          <a:ln>
                            <a:noFill/>
                          </a:ln>
                        </pic:spPr>
                      </pic:pic>
                    </a:graphicData>
                  </a:graphic>
                </wp:inline>
              </w:drawing>
            </w:r>
          </w:p>
        </w:tc>
      </w:tr>
    </w:tbl>
    <w:p w14:paraId="05DFA1A4" w14:textId="36F50F04" w:rsidR="00525B95" w:rsidRDefault="00FC3FB7" w:rsidP="00525B95">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Compte-rendu de</w:t>
      </w:r>
      <w:r w:rsidR="004E0CC0">
        <w:rPr>
          <w:b/>
          <w:sz w:val="32"/>
          <w:szCs w:val="32"/>
        </w:rPr>
        <w:t>s a</w:t>
      </w:r>
      <w:r w:rsidRPr="00FC3FB7">
        <w:rPr>
          <w:b/>
          <w:sz w:val="32"/>
          <w:szCs w:val="32"/>
        </w:rPr>
        <w:t>telier</w:t>
      </w:r>
      <w:r w:rsidR="004E0CC0">
        <w:rPr>
          <w:b/>
          <w:sz w:val="32"/>
          <w:szCs w:val="32"/>
        </w:rPr>
        <w:t>s</w:t>
      </w:r>
      <w:r w:rsidRPr="00FC3FB7">
        <w:rPr>
          <w:b/>
          <w:sz w:val="32"/>
          <w:szCs w:val="32"/>
        </w:rPr>
        <w:t xml:space="preserve"> </w:t>
      </w:r>
      <w:r w:rsidR="00525B95">
        <w:rPr>
          <w:b/>
          <w:sz w:val="32"/>
          <w:szCs w:val="32"/>
        </w:rPr>
        <w:t>sur la</w:t>
      </w:r>
      <w:r w:rsidR="004E0CC0">
        <w:rPr>
          <w:b/>
          <w:sz w:val="32"/>
          <w:szCs w:val="32"/>
        </w:rPr>
        <w:t xml:space="preserve"> définition des attributs de collecte</w:t>
      </w:r>
      <w:r w:rsidRPr="00FC3FB7">
        <w:rPr>
          <w:b/>
          <w:sz w:val="32"/>
          <w:szCs w:val="32"/>
        </w:rPr>
        <w:t xml:space="preserve"> </w:t>
      </w:r>
      <w:r w:rsidR="00525B95">
        <w:rPr>
          <w:b/>
          <w:sz w:val="32"/>
          <w:szCs w:val="32"/>
        </w:rPr>
        <w:t xml:space="preserve">Projet </w:t>
      </w:r>
      <w:r w:rsidRPr="00FC3FB7">
        <w:rPr>
          <w:b/>
          <w:sz w:val="32"/>
          <w:szCs w:val="32"/>
        </w:rPr>
        <w:t>OPC2</w:t>
      </w:r>
    </w:p>
    <w:p w14:paraId="724DD4E8" w14:textId="77777777" w:rsidR="00525B95" w:rsidRDefault="00525B95" w:rsidP="00525B95">
      <w:pPr>
        <w:pBdr>
          <w:top w:val="single" w:sz="4" w:space="1" w:color="auto"/>
          <w:left w:val="single" w:sz="4" w:space="4" w:color="auto"/>
          <w:bottom w:val="single" w:sz="4" w:space="1" w:color="auto"/>
          <w:right w:val="single" w:sz="4" w:space="4" w:color="auto"/>
        </w:pBdr>
        <w:spacing w:after="0"/>
        <w:jc w:val="center"/>
        <w:rPr>
          <w:b/>
          <w:sz w:val="32"/>
          <w:szCs w:val="32"/>
        </w:rPr>
      </w:pPr>
    </w:p>
    <w:p w14:paraId="74890531" w14:textId="36E60600" w:rsidR="004E0CC0" w:rsidRPr="00525B95" w:rsidRDefault="00FC3FB7" w:rsidP="00525B95">
      <w:pPr>
        <w:pBdr>
          <w:top w:val="single" w:sz="4" w:space="1" w:color="auto"/>
          <w:left w:val="single" w:sz="4" w:space="4" w:color="auto"/>
          <w:bottom w:val="single" w:sz="4" w:space="1" w:color="auto"/>
          <w:right w:val="single" w:sz="4" w:space="4" w:color="auto"/>
        </w:pBdr>
        <w:spacing w:after="0"/>
        <w:jc w:val="center"/>
        <w:rPr>
          <w:b/>
          <w:i/>
        </w:rPr>
      </w:pPr>
      <w:r w:rsidRPr="00525B95">
        <w:rPr>
          <w:b/>
          <w:i/>
        </w:rPr>
        <w:t xml:space="preserve">groupe OPCVM </w:t>
      </w:r>
      <w:r w:rsidR="0072248B">
        <w:rPr>
          <w:b/>
          <w:i/>
        </w:rPr>
        <w:t xml:space="preserve">du </w:t>
      </w:r>
      <w:r w:rsidRPr="00525B95">
        <w:rPr>
          <w:b/>
          <w:i/>
        </w:rPr>
        <w:t>28/01/2020</w:t>
      </w:r>
    </w:p>
    <w:p w14:paraId="720F760B" w14:textId="77777777" w:rsidR="004E0CC0" w:rsidRPr="00525B95" w:rsidRDefault="004E0CC0" w:rsidP="00525B95">
      <w:pPr>
        <w:pBdr>
          <w:top w:val="single" w:sz="4" w:space="1" w:color="auto"/>
          <w:left w:val="single" w:sz="4" w:space="4" w:color="auto"/>
          <w:bottom w:val="single" w:sz="4" w:space="1" w:color="auto"/>
          <w:right w:val="single" w:sz="4" w:space="4" w:color="auto"/>
        </w:pBdr>
        <w:spacing w:after="0"/>
        <w:jc w:val="center"/>
        <w:rPr>
          <w:b/>
          <w:i/>
        </w:rPr>
      </w:pPr>
      <w:r w:rsidRPr="00525B95">
        <w:rPr>
          <w:b/>
          <w:i/>
        </w:rPr>
        <w:t>groupe Immobilier du 31/01/2020</w:t>
      </w:r>
    </w:p>
    <w:p w14:paraId="1CFE414B" w14:textId="2B8104FD" w:rsidR="00FC3FB7" w:rsidRPr="00525B95" w:rsidRDefault="004E0CC0" w:rsidP="00525B95">
      <w:pPr>
        <w:pBdr>
          <w:top w:val="single" w:sz="4" w:space="1" w:color="auto"/>
          <w:left w:val="single" w:sz="4" w:space="4" w:color="auto"/>
          <w:bottom w:val="single" w:sz="4" w:space="1" w:color="auto"/>
          <w:right w:val="single" w:sz="4" w:space="4" w:color="auto"/>
        </w:pBdr>
        <w:spacing w:after="0"/>
        <w:jc w:val="center"/>
        <w:rPr>
          <w:b/>
          <w:i/>
        </w:rPr>
      </w:pPr>
      <w:r w:rsidRPr="00525B95">
        <w:rPr>
          <w:b/>
          <w:i/>
        </w:rPr>
        <w:t>groupe Fonds à risques du 04/02/2020</w:t>
      </w:r>
    </w:p>
    <w:p w14:paraId="0FA9179C" w14:textId="16AD4483" w:rsidR="00A35265" w:rsidRPr="00525B95" w:rsidRDefault="00A35265" w:rsidP="00525B95">
      <w:pPr>
        <w:pBdr>
          <w:top w:val="single" w:sz="4" w:space="1" w:color="auto"/>
          <w:left w:val="single" w:sz="4" w:space="4" w:color="auto"/>
          <w:bottom w:val="single" w:sz="4" w:space="1" w:color="auto"/>
          <w:right w:val="single" w:sz="4" w:space="4" w:color="auto"/>
        </w:pBdr>
        <w:spacing w:after="0"/>
        <w:jc w:val="center"/>
        <w:rPr>
          <w:b/>
          <w:i/>
        </w:rPr>
      </w:pPr>
      <w:r w:rsidRPr="00525B95">
        <w:rPr>
          <w:b/>
          <w:i/>
        </w:rPr>
        <w:t>groupe FPS/OFS du 11/02/2020</w:t>
      </w:r>
    </w:p>
    <w:p w14:paraId="611BA553" w14:textId="269D7143" w:rsidR="00AF250F" w:rsidRDefault="00AF250F" w:rsidP="004422C9">
      <w:pPr>
        <w:jc w:val="center"/>
        <w:rPr>
          <w:b/>
          <w:color w:val="44546A" w:themeColor="text2"/>
          <w:sz w:val="32"/>
        </w:rPr>
      </w:pPr>
    </w:p>
    <w:p w14:paraId="1CD82EB9" w14:textId="32B88028" w:rsidR="004E7FED" w:rsidRPr="00ED5909" w:rsidRDefault="00EC678E" w:rsidP="003F4E8C">
      <w:pPr>
        <w:pBdr>
          <w:top w:val="single" w:sz="4" w:space="1" w:color="auto"/>
          <w:left w:val="single" w:sz="4" w:space="4" w:color="auto"/>
          <w:bottom w:val="single" w:sz="4" w:space="1" w:color="auto"/>
          <w:right w:val="single" w:sz="4" w:space="4" w:color="auto"/>
        </w:pBdr>
        <w:ind w:left="708" w:hanging="708"/>
        <w:rPr>
          <w:b/>
          <w:color w:val="00B050"/>
          <w:sz w:val="24"/>
          <w:szCs w:val="24"/>
        </w:rPr>
      </w:pPr>
      <w:r w:rsidRPr="00ED5909">
        <w:rPr>
          <w:b/>
          <w:color w:val="00B050"/>
          <w:sz w:val="24"/>
          <w:szCs w:val="24"/>
        </w:rPr>
        <w:t>Nous avons intégré l</w:t>
      </w:r>
      <w:r w:rsidR="000C1B3C" w:rsidRPr="00ED5909">
        <w:rPr>
          <w:b/>
          <w:color w:val="00B050"/>
          <w:sz w:val="24"/>
          <w:szCs w:val="24"/>
        </w:rPr>
        <w:t>es réponses aux questions en suspens et la validation des options prises suite à la réunion TELCO du 12/05/2020</w:t>
      </w:r>
      <w:r w:rsidR="006E202E">
        <w:rPr>
          <w:b/>
          <w:color w:val="00B050"/>
          <w:sz w:val="24"/>
          <w:szCs w:val="24"/>
        </w:rPr>
        <w:t>.</w:t>
      </w:r>
      <w:r w:rsidR="000C1B3C" w:rsidRPr="00ED5909">
        <w:rPr>
          <w:b/>
          <w:color w:val="00B050"/>
          <w:sz w:val="24"/>
          <w:szCs w:val="24"/>
        </w:rPr>
        <w:t xml:space="preserve"> </w:t>
      </w:r>
      <w:r w:rsidRPr="00ED5909">
        <w:rPr>
          <w:b/>
          <w:color w:val="00B050"/>
          <w:sz w:val="24"/>
          <w:szCs w:val="24"/>
        </w:rPr>
        <w:t>Ces éléments sont notifié</w:t>
      </w:r>
      <w:r w:rsidR="000C1B3C" w:rsidRPr="00ED5909">
        <w:rPr>
          <w:b/>
          <w:color w:val="00B050"/>
          <w:sz w:val="24"/>
          <w:szCs w:val="24"/>
        </w:rPr>
        <w:t xml:space="preserve">s en </w:t>
      </w:r>
      <w:r w:rsidR="00ED5909">
        <w:rPr>
          <w:b/>
          <w:color w:val="00B050"/>
          <w:sz w:val="24"/>
          <w:szCs w:val="24"/>
        </w:rPr>
        <w:t xml:space="preserve">encadré </w:t>
      </w:r>
      <w:r w:rsidR="000C1B3C" w:rsidRPr="00ED5909">
        <w:rPr>
          <w:b/>
          <w:color w:val="00B050"/>
          <w:sz w:val="24"/>
          <w:szCs w:val="24"/>
        </w:rPr>
        <w:t>vert dans le compte rendu initial</w:t>
      </w:r>
      <w:r w:rsidR="003F4E8C" w:rsidRPr="003F4E8C">
        <w:rPr>
          <w:b/>
          <w:color w:val="FF0000"/>
          <w:sz w:val="24"/>
          <w:szCs w:val="24"/>
        </w:rPr>
        <w:t xml:space="preserve"> (en rouge, une modification survenue après la TELCO)</w:t>
      </w:r>
    </w:p>
    <w:p w14:paraId="3380116B" w14:textId="66218DA2" w:rsidR="00584C41" w:rsidRDefault="006C2AB3" w:rsidP="006C2AB3">
      <w:pPr>
        <w:rPr>
          <w:b/>
          <w:color w:val="44546A" w:themeColor="text2"/>
          <w:sz w:val="28"/>
          <w:szCs w:val="26"/>
        </w:rPr>
      </w:pPr>
      <w:r w:rsidRPr="003C34C2">
        <w:rPr>
          <w:b/>
          <w:color w:val="1F4E79" w:themeColor="accent1" w:themeShade="80"/>
          <w:sz w:val="28"/>
          <w:szCs w:val="26"/>
        </w:rPr>
        <w:t>Introduction</w:t>
      </w:r>
      <w:r w:rsidR="00584C41">
        <w:rPr>
          <w:b/>
          <w:color w:val="44546A" w:themeColor="text2"/>
          <w:sz w:val="28"/>
          <w:szCs w:val="26"/>
        </w:rPr>
        <w:t xml:space="preserve"> : </w:t>
      </w:r>
    </w:p>
    <w:p w14:paraId="6988E812" w14:textId="77777777" w:rsidR="00584C41" w:rsidRDefault="00584C41" w:rsidP="006C2AB3">
      <w:pPr>
        <w:rPr>
          <w:b/>
          <w:color w:val="44546A" w:themeColor="text2"/>
          <w:sz w:val="28"/>
          <w:szCs w:val="26"/>
        </w:rPr>
      </w:pPr>
    </w:p>
    <w:p w14:paraId="76C3B3AF" w14:textId="329DEEBF" w:rsidR="006C2AB3" w:rsidRPr="0014141C" w:rsidRDefault="00584C41" w:rsidP="006C2AB3">
      <w:r w:rsidRPr="0014141C">
        <w:t>R</w:t>
      </w:r>
      <w:r w:rsidR="006C2AB3" w:rsidRPr="0014141C">
        <w:t>appel de la nécessité de refonte de l’applicatif OPC</w:t>
      </w:r>
      <w:r w:rsidR="00112C99" w:rsidRPr="0014141C">
        <w:t>1</w:t>
      </w:r>
      <w:r w:rsidR="006C2AB3" w:rsidRPr="0014141C">
        <w:t xml:space="preserve"> et</w:t>
      </w:r>
      <w:r w:rsidR="007C6A9A" w:rsidRPr="0014141C">
        <w:t xml:space="preserve"> d</w:t>
      </w:r>
      <w:r w:rsidR="00F21340" w:rsidRPr="0014141C">
        <w:t>u</w:t>
      </w:r>
      <w:r w:rsidR="007C6A9A" w:rsidRPr="0014141C">
        <w:t xml:space="preserve"> besoin</w:t>
      </w:r>
      <w:r w:rsidR="00C03682" w:rsidRPr="0014141C">
        <w:t xml:space="preserve"> </w:t>
      </w:r>
      <w:r w:rsidR="006C2AB3" w:rsidRPr="0014141C">
        <w:t xml:space="preserve">de </w:t>
      </w:r>
      <w:r w:rsidR="007C6A9A" w:rsidRPr="0014141C">
        <w:t xml:space="preserve">nouveaux </w:t>
      </w:r>
      <w:r w:rsidR="006C2AB3" w:rsidRPr="0014141C">
        <w:t>attributs de collecte notamment:</w:t>
      </w:r>
    </w:p>
    <w:p w14:paraId="4CD13816" w14:textId="77777777" w:rsidR="006C2AB3" w:rsidRPr="0014141C" w:rsidRDefault="006C2AB3" w:rsidP="006C2AB3">
      <w:pPr>
        <w:pStyle w:val="Paragraphedeliste"/>
        <w:numPr>
          <w:ilvl w:val="0"/>
          <w:numId w:val="7"/>
        </w:numPr>
      </w:pPr>
      <w:r w:rsidRPr="0014141C">
        <w:t>Technologie obsolète et difficilement modifiable</w:t>
      </w:r>
      <w:r w:rsidR="001322F4" w:rsidRPr="0014141C">
        <w:t xml:space="preserve"> de l’applicatif de collecte actuel</w:t>
      </w:r>
      <w:r w:rsidRPr="0014141C">
        <w:t xml:space="preserve"> (langage COBOL)</w:t>
      </w:r>
    </w:p>
    <w:p w14:paraId="1161730B" w14:textId="14EAAC9B" w:rsidR="006C2AB3" w:rsidRPr="0014141C" w:rsidRDefault="006C2AB3" w:rsidP="006C2AB3">
      <w:pPr>
        <w:pStyle w:val="Paragraphedeliste"/>
        <w:numPr>
          <w:ilvl w:val="0"/>
          <w:numId w:val="7"/>
        </w:numPr>
      </w:pPr>
      <w:r w:rsidRPr="0014141C">
        <w:t>Modification</w:t>
      </w:r>
      <w:r w:rsidR="00F21340" w:rsidRPr="0014141C">
        <w:t>s</w:t>
      </w:r>
      <w:r w:rsidRPr="0014141C">
        <w:t xml:space="preserve"> du plan comptable et </w:t>
      </w:r>
      <w:r w:rsidR="00246D78" w:rsidRPr="0014141C">
        <w:t>règlementation</w:t>
      </w:r>
      <w:r w:rsidRPr="0014141C">
        <w:t xml:space="preserve"> </w:t>
      </w:r>
      <w:r w:rsidR="00246D78" w:rsidRPr="0014141C">
        <w:t xml:space="preserve">nationale </w:t>
      </w:r>
      <w:r w:rsidRPr="0014141C">
        <w:t xml:space="preserve">à </w:t>
      </w:r>
      <w:r w:rsidR="00246D78" w:rsidRPr="0014141C">
        <w:t>intégrer</w:t>
      </w:r>
    </w:p>
    <w:p w14:paraId="628738AC" w14:textId="6FDCDA65" w:rsidR="006C2AB3" w:rsidRPr="0014141C" w:rsidRDefault="006C2AB3" w:rsidP="006C2AB3">
      <w:pPr>
        <w:pStyle w:val="Paragraphedeliste"/>
        <w:numPr>
          <w:ilvl w:val="0"/>
          <w:numId w:val="7"/>
        </w:numPr>
      </w:pPr>
      <w:r w:rsidRPr="0014141C">
        <w:t xml:space="preserve">Modification du règlement BCE </w:t>
      </w:r>
      <w:r w:rsidR="001322F4" w:rsidRPr="0014141C">
        <w:t xml:space="preserve">sur la collecte statistique des OPC </w:t>
      </w:r>
      <w:r w:rsidRPr="0014141C">
        <w:t xml:space="preserve">à venir courant </w:t>
      </w:r>
      <w:r w:rsidR="00F21340" w:rsidRPr="0014141C">
        <w:t xml:space="preserve">2022 </w:t>
      </w:r>
    </w:p>
    <w:p w14:paraId="789609DA" w14:textId="0723546F" w:rsidR="006C2AB3" w:rsidRPr="0014141C" w:rsidRDefault="006C2AB3" w:rsidP="006C2AB3">
      <w:r w:rsidRPr="0014141C">
        <w:t xml:space="preserve">Rappel de la </w:t>
      </w:r>
      <w:r w:rsidR="00F21340" w:rsidRPr="0014141C">
        <w:t>volonté de</w:t>
      </w:r>
      <w:r w:rsidR="001322F4" w:rsidRPr="0014141C">
        <w:t xml:space="preserve"> la </w:t>
      </w:r>
      <w:r w:rsidR="00F21340" w:rsidRPr="0014141C">
        <w:t>B</w:t>
      </w:r>
      <w:r w:rsidR="001322F4" w:rsidRPr="0014141C">
        <w:t xml:space="preserve">anque de France d’associer les professionnels à la définition de ces nouveaux attributs de collecte, notamment </w:t>
      </w:r>
      <w:r w:rsidR="00F21340" w:rsidRPr="0014141C">
        <w:t xml:space="preserve">au regard de </w:t>
      </w:r>
      <w:r w:rsidR="001322F4" w:rsidRPr="0014141C">
        <w:t xml:space="preserve">leur </w:t>
      </w:r>
      <w:r w:rsidR="00F21340" w:rsidRPr="0014141C">
        <w:t>disponibilité</w:t>
      </w:r>
      <w:r w:rsidR="001322F4" w:rsidRPr="0014141C">
        <w:t xml:space="preserve"> et </w:t>
      </w:r>
      <w:r w:rsidR="00F21340" w:rsidRPr="0014141C">
        <w:t xml:space="preserve">de </w:t>
      </w:r>
      <w:r w:rsidR="001322F4" w:rsidRPr="0014141C">
        <w:t>leur pertinence.</w:t>
      </w:r>
    </w:p>
    <w:p w14:paraId="2F04FB90" w14:textId="3E57D4AB" w:rsidR="001322F4" w:rsidRDefault="001322F4" w:rsidP="006C2AB3">
      <w:r w:rsidRPr="0014141C">
        <w:t xml:space="preserve">Une réunion de conclusion des ateliers se tiendra </w:t>
      </w:r>
      <w:r w:rsidR="00584C41" w:rsidRPr="0014141C">
        <w:t xml:space="preserve">fin </w:t>
      </w:r>
      <w:r w:rsidRPr="0014141C">
        <w:t xml:space="preserve">mars. Une démonstration du portail de collecte Onegate </w:t>
      </w:r>
      <w:r w:rsidR="00786C5E">
        <w:t>est prévue</w:t>
      </w:r>
      <w:r w:rsidRPr="0014141C">
        <w:t xml:space="preserve"> mi-2020.</w:t>
      </w:r>
    </w:p>
    <w:p w14:paraId="18E46E99" w14:textId="77777777" w:rsidR="004E7FED" w:rsidRPr="0014141C" w:rsidRDefault="004E7FED" w:rsidP="006C2AB3"/>
    <w:p w14:paraId="6D339774" w14:textId="77777777" w:rsidR="006C2AB3" w:rsidRPr="006C2AB3" w:rsidRDefault="006C2AB3" w:rsidP="006C2AB3">
      <w:pPr>
        <w:pStyle w:val="Paragraphedeliste"/>
        <w:rPr>
          <w:i/>
          <w:color w:val="44546A" w:themeColor="text2"/>
          <w:sz w:val="20"/>
        </w:rPr>
      </w:pPr>
    </w:p>
    <w:p w14:paraId="6F463CAB" w14:textId="1ED443E5" w:rsidR="00CC60F4" w:rsidRPr="004E7FED" w:rsidRDefault="00CC181B" w:rsidP="00BF3701">
      <w:pPr>
        <w:pStyle w:val="Paragraphedeliste"/>
        <w:numPr>
          <w:ilvl w:val="0"/>
          <w:numId w:val="3"/>
        </w:numPr>
        <w:rPr>
          <w:b/>
          <w:color w:val="44546A" w:themeColor="text2"/>
          <w:sz w:val="26"/>
          <w:szCs w:val="26"/>
        </w:rPr>
      </w:pPr>
      <w:r w:rsidRPr="004E7FED">
        <w:rPr>
          <w:b/>
          <w:color w:val="44546A" w:themeColor="text2"/>
          <w:sz w:val="26"/>
          <w:szCs w:val="26"/>
        </w:rPr>
        <w:t>TOUR DE TABLE</w:t>
      </w:r>
      <w:r w:rsidR="00BF3701" w:rsidRPr="004E7FED">
        <w:rPr>
          <w:b/>
          <w:color w:val="44546A" w:themeColor="text2"/>
          <w:sz w:val="26"/>
          <w:szCs w:val="26"/>
        </w:rPr>
        <w:t xml:space="preserve"> / PRESENTATION DES PARTICIPANTS </w:t>
      </w:r>
    </w:p>
    <w:p w14:paraId="51332D28" w14:textId="1BC63F95" w:rsidR="006C2AB3" w:rsidRDefault="0034080E" w:rsidP="0034080E">
      <w:r w:rsidRPr="0034080E">
        <w:t xml:space="preserve">Chacun des groupes de travail a donné lieu à une présentation des participants dont les listes sont annexées </w:t>
      </w:r>
      <w:r w:rsidR="000A286A">
        <w:t>à la fin du compte-rendu.</w:t>
      </w:r>
    </w:p>
    <w:p w14:paraId="207D8BFB" w14:textId="2DDC1775" w:rsidR="004E7FED" w:rsidRDefault="004E7FED" w:rsidP="0034080E"/>
    <w:p w14:paraId="00B7AFEA" w14:textId="4E3CA177" w:rsidR="000D1D7D" w:rsidRPr="003C34C2" w:rsidRDefault="000D1D7D" w:rsidP="000D1D7D">
      <w:pPr>
        <w:pStyle w:val="Paragraphedeliste"/>
        <w:numPr>
          <w:ilvl w:val="0"/>
          <w:numId w:val="3"/>
        </w:numPr>
        <w:rPr>
          <w:b/>
          <w:color w:val="44546A" w:themeColor="text2"/>
          <w:sz w:val="26"/>
          <w:szCs w:val="26"/>
        </w:rPr>
      </w:pPr>
      <w:r w:rsidRPr="003C34C2">
        <w:rPr>
          <w:b/>
          <w:color w:val="44546A" w:themeColor="text2"/>
          <w:sz w:val="26"/>
          <w:szCs w:val="26"/>
        </w:rPr>
        <w:lastRenderedPageBreak/>
        <w:t xml:space="preserve">RETOUR D’EXPERIENCE SUR </w:t>
      </w:r>
      <w:r w:rsidR="00F2642A" w:rsidRPr="003C34C2">
        <w:rPr>
          <w:b/>
          <w:color w:val="44546A" w:themeColor="text2"/>
          <w:sz w:val="26"/>
          <w:szCs w:val="26"/>
        </w:rPr>
        <w:t>l’</w:t>
      </w:r>
      <w:r w:rsidRPr="003C34C2">
        <w:rPr>
          <w:b/>
          <w:color w:val="44546A" w:themeColor="text2"/>
          <w:sz w:val="26"/>
          <w:szCs w:val="26"/>
        </w:rPr>
        <w:t xml:space="preserve">APPLICATIF ACTUEL ET </w:t>
      </w:r>
      <w:r w:rsidR="00F2642A" w:rsidRPr="003C34C2">
        <w:rPr>
          <w:b/>
          <w:color w:val="44546A" w:themeColor="text2"/>
          <w:sz w:val="26"/>
          <w:szCs w:val="26"/>
        </w:rPr>
        <w:t xml:space="preserve">PISTES </w:t>
      </w:r>
      <w:r w:rsidR="00F775C3">
        <w:rPr>
          <w:b/>
          <w:color w:val="44546A" w:themeColor="text2"/>
          <w:sz w:val="26"/>
          <w:szCs w:val="26"/>
        </w:rPr>
        <w:t>D</w:t>
      </w:r>
      <w:r w:rsidR="00F2642A" w:rsidRPr="003C34C2">
        <w:rPr>
          <w:b/>
          <w:color w:val="44546A" w:themeColor="text2"/>
          <w:sz w:val="26"/>
          <w:szCs w:val="26"/>
        </w:rPr>
        <w:t>’AMELIORATION</w:t>
      </w:r>
    </w:p>
    <w:p w14:paraId="21E45D8E" w14:textId="77777777" w:rsidR="00213613" w:rsidRDefault="00213613" w:rsidP="003332FB">
      <w:pPr>
        <w:rPr>
          <w:i/>
          <w:color w:val="2F5496" w:themeColor="accent5" w:themeShade="BF"/>
          <w:sz w:val="20"/>
        </w:rPr>
      </w:pPr>
    </w:p>
    <w:p w14:paraId="50E5D73E" w14:textId="71A85D28" w:rsidR="007C6A9A" w:rsidRPr="0014141C" w:rsidRDefault="00112C99" w:rsidP="003332FB">
      <w:r w:rsidRPr="0014141C">
        <w:t xml:space="preserve"> 4 sources de données </w:t>
      </w:r>
      <w:r w:rsidR="009D6021" w:rsidRPr="0014141C">
        <w:t xml:space="preserve">sont </w:t>
      </w:r>
      <w:r w:rsidR="00481E1C" w:rsidRPr="0014141C">
        <w:t>disponible</w:t>
      </w:r>
      <w:r w:rsidR="009D6021" w:rsidRPr="0014141C">
        <w:t>s</w:t>
      </w:r>
      <w:r w:rsidR="00481E1C" w:rsidRPr="0014141C">
        <w:t xml:space="preserve"> dans l’applicatif actuel</w:t>
      </w:r>
      <w:r w:rsidR="007C6A9A" w:rsidRPr="0014141C">
        <w:t xml:space="preserve"> </w:t>
      </w:r>
      <w:r w:rsidR="00481E1C" w:rsidRPr="0014141C">
        <w:t>OPC1</w:t>
      </w:r>
      <w:r w:rsidR="007C6A9A" w:rsidRPr="0014141C">
        <w:t> :</w:t>
      </w:r>
    </w:p>
    <w:p w14:paraId="1C7F55E2" w14:textId="236B4A2E" w:rsidR="003332FB" w:rsidRPr="0014141C" w:rsidRDefault="007C6A9A" w:rsidP="003332FB">
      <w:r w:rsidRPr="0014141C">
        <w:t>a/</w:t>
      </w:r>
      <w:r w:rsidR="00112C99" w:rsidRPr="0014141C">
        <w:t>la collecte issue des remettants (bilan</w:t>
      </w:r>
      <w:r w:rsidR="004C4375" w:rsidRPr="0014141C">
        <w:t>s</w:t>
      </w:r>
      <w:r w:rsidR="00112C99" w:rsidRPr="0014141C">
        <w:t xml:space="preserve"> comptable</w:t>
      </w:r>
      <w:r w:rsidR="004C4375" w:rsidRPr="0014141C">
        <w:t>s</w:t>
      </w:r>
      <w:r w:rsidR="00112C99" w:rsidRPr="0014141C">
        <w:t xml:space="preserve"> – dont ligne à ligne des titres aux portefeuilles), </w:t>
      </w:r>
      <w:r w:rsidRPr="0014141C">
        <w:t>b/</w:t>
      </w:r>
      <w:r w:rsidR="00112C99" w:rsidRPr="0014141C">
        <w:t>un flux de l’AMF pour l’état civil des OPC et leur</w:t>
      </w:r>
      <w:r w:rsidR="004C4375" w:rsidRPr="0014141C">
        <w:t>s</w:t>
      </w:r>
      <w:r w:rsidR="00112C99" w:rsidRPr="0014141C">
        <w:t xml:space="preserve"> valeur</w:t>
      </w:r>
      <w:r w:rsidR="004C4375" w:rsidRPr="0014141C">
        <w:t>s</w:t>
      </w:r>
      <w:r w:rsidR="00112C99" w:rsidRPr="0014141C">
        <w:t xml:space="preserve"> liquidative</w:t>
      </w:r>
      <w:r w:rsidR="004C4375" w:rsidRPr="0014141C">
        <w:t>s</w:t>
      </w:r>
      <w:r w:rsidR="00112C99" w:rsidRPr="0014141C">
        <w:t xml:space="preserve"> (VL), </w:t>
      </w:r>
      <w:r w:rsidRPr="0014141C">
        <w:t xml:space="preserve">c/ </w:t>
      </w:r>
      <w:r w:rsidR="00112C99" w:rsidRPr="0014141C">
        <w:t xml:space="preserve">une base d’état civil sur les titres isinés (base européenne), </w:t>
      </w:r>
      <w:r w:rsidRPr="0014141C">
        <w:t>d/</w:t>
      </w:r>
      <w:r w:rsidR="00112C99" w:rsidRPr="0014141C">
        <w:t>une enquête sur les teneurs de compte conservateur</w:t>
      </w:r>
      <w:r w:rsidR="000A523A" w:rsidRPr="0014141C">
        <w:t>s</w:t>
      </w:r>
      <w:r w:rsidR="00112C99" w:rsidRPr="0014141C">
        <w:t xml:space="preserve"> pour la détention sectorielle des parts d’OPC. </w:t>
      </w:r>
    </w:p>
    <w:p w14:paraId="5C0E6D8E" w14:textId="7E4A2E84" w:rsidR="00213613" w:rsidRPr="0014141C" w:rsidRDefault="00213613" w:rsidP="00213613">
      <w:r w:rsidRPr="0014141C">
        <w:t xml:space="preserve">Les </w:t>
      </w:r>
      <w:r w:rsidR="00FC3245" w:rsidRPr="0014141C">
        <w:t>difficultés</w:t>
      </w:r>
      <w:r w:rsidRPr="0014141C">
        <w:t xml:space="preserve"> remonté</w:t>
      </w:r>
      <w:r w:rsidR="00FC3245" w:rsidRPr="0014141C">
        <w:t>e</w:t>
      </w:r>
      <w:r w:rsidRPr="0014141C">
        <w:t xml:space="preserve">s par les remettants </w:t>
      </w:r>
      <w:r w:rsidR="00FC3245" w:rsidRPr="0014141C">
        <w:t xml:space="preserve">sur OPC1 </w:t>
      </w:r>
      <w:r w:rsidR="00FC3F6A" w:rsidRPr="0014141C">
        <w:t xml:space="preserve">sont </w:t>
      </w:r>
      <w:r w:rsidR="00FC2584" w:rsidRPr="0014141C">
        <w:t xml:space="preserve">principalement </w:t>
      </w:r>
      <w:r w:rsidR="00481E1C" w:rsidRPr="0014141C">
        <w:t>dues à</w:t>
      </w:r>
      <w:r w:rsidR="00FC2584" w:rsidRPr="0014141C">
        <w:t xml:space="preserve"> l’obsolescence de l’applicatif </w:t>
      </w:r>
      <w:r w:rsidR="00AB5B66" w:rsidRPr="0014141C">
        <w:t>(problèmes comptables et règles de gestion) ains</w:t>
      </w:r>
      <w:r w:rsidR="00481E1C" w:rsidRPr="0014141C">
        <w:t>i</w:t>
      </w:r>
      <w:r w:rsidR="00AB5B66" w:rsidRPr="0014141C">
        <w:t xml:space="preserve"> qu</w:t>
      </w:r>
      <w:r w:rsidR="004C4375" w:rsidRPr="0014141C">
        <w:t>’aux</w:t>
      </w:r>
      <w:r w:rsidR="00AB5B66" w:rsidRPr="0014141C">
        <w:t xml:space="preserve"> probl</w:t>
      </w:r>
      <w:r w:rsidR="00481E1C" w:rsidRPr="0014141C">
        <w:t>è</w:t>
      </w:r>
      <w:r w:rsidR="00AB5B66" w:rsidRPr="0014141C">
        <w:t xml:space="preserve">mes </w:t>
      </w:r>
      <w:r w:rsidR="00481E1C" w:rsidRPr="0014141C">
        <w:t>lié</w:t>
      </w:r>
      <w:r w:rsidR="009B024B" w:rsidRPr="0014141C">
        <w:t>s</w:t>
      </w:r>
      <w:r w:rsidR="00481E1C" w:rsidRPr="0014141C">
        <w:t xml:space="preserve"> à</w:t>
      </w:r>
      <w:r w:rsidR="00AB5B66" w:rsidRPr="0014141C">
        <w:t xml:space="preserve"> l’état civil</w:t>
      </w:r>
    </w:p>
    <w:p w14:paraId="308DD21B" w14:textId="77777777" w:rsidR="00213613" w:rsidRDefault="00213613" w:rsidP="00FC3245">
      <w:pPr>
        <w:rPr>
          <w:i/>
          <w:color w:val="2F5496" w:themeColor="accent5" w:themeShade="BF"/>
          <w:sz w:val="20"/>
        </w:rPr>
      </w:pPr>
    </w:p>
    <w:p w14:paraId="6EFC1AE7" w14:textId="77777777" w:rsidR="00213613" w:rsidRPr="003C34C2" w:rsidRDefault="00213613" w:rsidP="00FC3245">
      <w:pPr>
        <w:pStyle w:val="Paragraphedeliste"/>
        <w:numPr>
          <w:ilvl w:val="0"/>
          <w:numId w:val="7"/>
        </w:numPr>
        <w:rPr>
          <w:i/>
          <w:sz w:val="28"/>
        </w:rPr>
      </w:pPr>
      <w:r w:rsidRPr="003C34C2">
        <w:rPr>
          <w:i/>
          <w:sz w:val="28"/>
        </w:rPr>
        <w:t xml:space="preserve">Problèmes </w:t>
      </w:r>
      <w:r w:rsidR="00FC2584" w:rsidRPr="003C34C2">
        <w:rPr>
          <w:i/>
          <w:sz w:val="28"/>
        </w:rPr>
        <w:t>comptables</w:t>
      </w:r>
      <w:r w:rsidRPr="003C34C2">
        <w:rPr>
          <w:i/>
          <w:sz w:val="28"/>
        </w:rPr>
        <w:t xml:space="preserve"> </w:t>
      </w:r>
    </w:p>
    <w:p w14:paraId="58A107CD" w14:textId="77777777" w:rsidR="00FC3245" w:rsidRPr="00FC3245" w:rsidRDefault="00FC3245" w:rsidP="00FC3245">
      <w:pPr>
        <w:ind w:left="360"/>
        <w:rPr>
          <w:i/>
          <w:color w:val="2F5496" w:themeColor="accent5" w:themeShade="BF"/>
          <w:sz w:val="20"/>
        </w:rPr>
      </w:pPr>
    </w:p>
    <w:p w14:paraId="34B5354A" w14:textId="49780C7D" w:rsidR="00213613" w:rsidRPr="0014141C" w:rsidRDefault="00213613" w:rsidP="00213613">
      <w:r w:rsidRPr="0014141C">
        <w:t xml:space="preserve">Créé en 1999, l’applicatif OPC1 </w:t>
      </w:r>
      <w:r w:rsidR="007C6A9A" w:rsidRPr="0014141C">
        <w:t>a</w:t>
      </w:r>
      <w:r w:rsidRPr="0014141C">
        <w:t xml:space="preserve"> subi sa dernière modification importante de règles fonctionnelles en 2014</w:t>
      </w:r>
      <w:r w:rsidR="00C4555E" w:rsidRPr="0014141C">
        <w:t>/2015</w:t>
      </w:r>
      <w:r w:rsidRPr="0014141C">
        <w:t xml:space="preserve"> avec la refonte liée à la directive AIFM</w:t>
      </w:r>
      <w:r w:rsidRPr="0014141C">
        <w:rPr>
          <w:rStyle w:val="Appelnotedebasdep"/>
        </w:rPr>
        <w:footnoteReference w:id="1"/>
      </w:r>
      <w:r w:rsidRPr="0014141C">
        <w:t>.</w:t>
      </w:r>
    </w:p>
    <w:p w14:paraId="26CA2E5A" w14:textId="75A34DCC" w:rsidR="003332FB" w:rsidRPr="0014141C" w:rsidRDefault="00FC3245" w:rsidP="000A523A">
      <w:r w:rsidRPr="0014141C">
        <w:t>Certaines</w:t>
      </w:r>
      <w:r w:rsidR="003332FB" w:rsidRPr="0014141C">
        <w:t xml:space="preserve"> </w:t>
      </w:r>
      <w:r w:rsidR="00481E1C" w:rsidRPr="0014141C">
        <w:t xml:space="preserve">nouveautés qu’elles soient </w:t>
      </w:r>
      <w:r w:rsidRPr="0014141C">
        <w:t xml:space="preserve">comptables ou </w:t>
      </w:r>
      <w:r w:rsidR="00481E1C" w:rsidRPr="0014141C">
        <w:t>lié</w:t>
      </w:r>
      <w:r w:rsidR="00167E24" w:rsidRPr="0014141C">
        <w:t>es</w:t>
      </w:r>
      <w:r w:rsidR="00481E1C" w:rsidRPr="0014141C">
        <w:t xml:space="preserve"> à l’état civil des fonds (</w:t>
      </w:r>
      <w:r w:rsidRPr="0014141C">
        <w:t>structure juridique</w:t>
      </w:r>
      <w:r w:rsidR="00481E1C" w:rsidRPr="0014141C">
        <w:t>)</w:t>
      </w:r>
      <w:r w:rsidRPr="0014141C">
        <w:t xml:space="preserve"> </w:t>
      </w:r>
      <w:r w:rsidR="003332FB" w:rsidRPr="0014141C">
        <w:t>sont mal prise</w:t>
      </w:r>
      <w:r w:rsidR="004C4375" w:rsidRPr="0014141C">
        <w:t>s</w:t>
      </w:r>
      <w:r w:rsidR="003332FB" w:rsidRPr="0014141C">
        <w:t xml:space="preserve"> en compte voire ne sont pas disponible</w:t>
      </w:r>
      <w:r w:rsidRPr="0014141C">
        <w:t>s</w:t>
      </w:r>
      <w:r w:rsidR="003332FB" w:rsidRPr="0014141C">
        <w:t xml:space="preserve"> dans l’applicatif notamment</w:t>
      </w:r>
      <w:r w:rsidR="00856602" w:rsidRPr="0014141C">
        <w:t xml:space="preserve"> (liste non exhaustive)</w:t>
      </w:r>
      <w:r w:rsidR="004C4375" w:rsidRPr="0014141C">
        <w:t> :</w:t>
      </w:r>
      <w:r w:rsidR="00FC3F6A" w:rsidRPr="0014141C">
        <w:t xml:space="preserve"> </w:t>
      </w:r>
    </w:p>
    <w:p w14:paraId="64F18F0C" w14:textId="235120CB" w:rsidR="00FC3F6A" w:rsidRPr="0014141C" w:rsidRDefault="00FC3F6A" w:rsidP="00FC3F6A">
      <w:pPr>
        <w:pStyle w:val="Paragraphedeliste"/>
        <w:numPr>
          <w:ilvl w:val="0"/>
          <w:numId w:val="9"/>
        </w:numPr>
        <w:ind w:left="426" w:hanging="426"/>
        <w:rPr>
          <w:i/>
          <w:color w:val="ED7D31" w:themeColor="accent2"/>
        </w:rPr>
      </w:pPr>
      <w:r w:rsidRPr="0014141C">
        <w:rPr>
          <w:i/>
          <w:color w:val="ED7D31" w:themeColor="accent2"/>
        </w:rPr>
        <w:t>Déclaration non prévue pour les sociétés en libre partenariat (SLP) ou Société Civile Immobili</w:t>
      </w:r>
      <w:r w:rsidR="007C6A9A" w:rsidRPr="0014141C">
        <w:rPr>
          <w:i/>
          <w:color w:val="ED7D31" w:themeColor="accent2"/>
        </w:rPr>
        <w:t>è</w:t>
      </w:r>
      <w:r w:rsidRPr="0014141C">
        <w:rPr>
          <w:i/>
          <w:color w:val="ED7D31" w:themeColor="accent2"/>
        </w:rPr>
        <w:t>re (S</w:t>
      </w:r>
      <w:r w:rsidR="00EC19D3" w:rsidRPr="0014141C">
        <w:rPr>
          <w:i/>
          <w:color w:val="ED7D31" w:themeColor="accent2"/>
        </w:rPr>
        <w:t>CI</w:t>
      </w:r>
      <w:r w:rsidRPr="0014141C">
        <w:rPr>
          <w:i/>
          <w:color w:val="ED7D31" w:themeColor="accent2"/>
        </w:rPr>
        <w:t xml:space="preserve">) </w:t>
      </w:r>
    </w:p>
    <w:p w14:paraId="2209A317" w14:textId="77777777" w:rsidR="00FC3F6A" w:rsidRPr="0014141C" w:rsidRDefault="00FC3245" w:rsidP="00FC3F6A">
      <w:pPr>
        <w:pStyle w:val="Paragraphedeliste"/>
        <w:numPr>
          <w:ilvl w:val="0"/>
          <w:numId w:val="9"/>
        </w:numPr>
        <w:ind w:left="426" w:hanging="426"/>
        <w:rPr>
          <w:i/>
          <w:color w:val="ED7D31" w:themeColor="accent2"/>
        </w:rPr>
      </w:pPr>
      <w:r w:rsidRPr="0014141C">
        <w:rPr>
          <w:i/>
          <w:color w:val="ED7D31" w:themeColor="accent2"/>
        </w:rPr>
        <w:t>Montant avec signe négatif pour les produits (respectivement signe positif pour les charges)</w:t>
      </w:r>
    </w:p>
    <w:p w14:paraId="66C27A20" w14:textId="7B33E72D" w:rsidR="00FC3245" w:rsidRPr="0014141C" w:rsidRDefault="00FC3245" w:rsidP="00FC3F6A">
      <w:pPr>
        <w:pStyle w:val="Paragraphedeliste"/>
        <w:numPr>
          <w:ilvl w:val="0"/>
          <w:numId w:val="9"/>
        </w:numPr>
        <w:ind w:left="426" w:hanging="426"/>
        <w:rPr>
          <w:i/>
          <w:color w:val="ED7D31" w:themeColor="accent2"/>
        </w:rPr>
      </w:pPr>
      <w:r w:rsidRPr="0014141C">
        <w:rPr>
          <w:i/>
          <w:color w:val="ED7D31" w:themeColor="accent2"/>
        </w:rPr>
        <w:t>Avance en compte courants pour</w:t>
      </w:r>
      <w:r w:rsidR="007C6A9A" w:rsidRPr="0014141C">
        <w:rPr>
          <w:i/>
          <w:color w:val="ED7D31" w:themeColor="accent2"/>
        </w:rPr>
        <w:t xml:space="preserve"> les</w:t>
      </w:r>
      <w:r w:rsidRPr="0014141C">
        <w:rPr>
          <w:i/>
          <w:color w:val="ED7D31" w:themeColor="accent2"/>
        </w:rPr>
        <w:t xml:space="preserve"> OPC autre</w:t>
      </w:r>
      <w:r w:rsidR="004C4375" w:rsidRPr="0014141C">
        <w:rPr>
          <w:i/>
          <w:color w:val="ED7D31" w:themeColor="accent2"/>
        </w:rPr>
        <w:t>s</w:t>
      </w:r>
      <w:r w:rsidRPr="0014141C">
        <w:rPr>
          <w:i/>
          <w:color w:val="ED7D31" w:themeColor="accent2"/>
        </w:rPr>
        <w:t xml:space="preserve"> que les fonds à risque</w:t>
      </w:r>
    </w:p>
    <w:p w14:paraId="4DD4167C" w14:textId="14EC80C0" w:rsidR="00FC3F6A" w:rsidRPr="0014141C" w:rsidRDefault="008B6852" w:rsidP="00FC3F6A">
      <w:pPr>
        <w:rPr>
          <w:i/>
          <w:color w:val="1F4E79" w:themeColor="accent1" w:themeShade="80"/>
        </w:rPr>
      </w:pPr>
      <w:r w:rsidRPr="0014141C">
        <w:rPr>
          <w:b/>
          <w:i/>
          <w:color w:val="1F4E79" w:themeColor="accent1" w:themeShade="80"/>
        </w:rPr>
        <w:t>Réponse BDF :</w:t>
      </w:r>
      <w:r w:rsidRPr="0014141C">
        <w:rPr>
          <w:i/>
          <w:color w:val="1F4E79" w:themeColor="accent1" w:themeShade="80"/>
        </w:rPr>
        <w:t xml:space="preserve"> </w:t>
      </w:r>
      <w:r w:rsidR="001F24DF" w:rsidRPr="0014141C">
        <w:rPr>
          <w:i/>
          <w:color w:val="1F4E79" w:themeColor="accent1" w:themeShade="80"/>
        </w:rPr>
        <w:t xml:space="preserve">Les nouvelles catégories juridiques seront </w:t>
      </w:r>
      <w:r w:rsidR="00167E24" w:rsidRPr="0014141C">
        <w:rPr>
          <w:i/>
          <w:color w:val="1F4E79" w:themeColor="accent1" w:themeShade="80"/>
        </w:rPr>
        <w:t>acceptées par le nouvel applicatif OPC2</w:t>
      </w:r>
      <w:r w:rsidR="001F24DF" w:rsidRPr="0014141C">
        <w:rPr>
          <w:i/>
          <w:color w:val="1F4E79" w:themeColor="accent1" w:themeShade="80"/>
        </w:rPr>
        <w:t xml:space="preserve"> ce qui permettra d</w:t>
      </w:r>
      <w:r w:rsidR="00167E24" w:rsidRPr="0014141C">
        <w:rPr>
          <w:i/>
          <w:color w:val="1F4E79" w:themeColor="accent1" w:themeShade="80"/>
        </w:rPr>
        <w:t>’intégrer les populations jusque-là non prises en compte et notamment l</w:t>
      </w:r>
      <w:r w:rsidR="001F24DF" w:rsidRPr="0014141C">
        <w:rPr>
          <w:i/>
          <w:color w:val="1F4E79" w:themeColor="accent1" w:themeShade="80"/>
        </w:rPr>
        <w:t>es SLP. De même,</w:t>
      </w:r>
      <w:r w:rsidR="00FC3F6A" w:rsidRPr="0014141C">
        <w:rPr>
          <w:i/>
          <w:color w:val="1F4E79" w:themeColor="accent1" w:themeShade="80"/>
        </w:rPr>
        <w:t xml:space="preserve"> </w:t>
      </w:r>
      <w:r w:rsidR="00C4555E" w:rsidRPr="0014141C">
        <w:rPr>
          <w:i/>
          <w:color w:val="1F4E79" w:themeColor="accent1" w:themeShade="80"/>
        </w:rPr>
        <w:t>l</w:t>
      </w:r>
      <w:r w:rsidR="00FC3F6A" w:rsidRPr="0014141C">
        <w:rPr>
          <w:i/>
          <w:color w:val="1F4E79" w:themeColor="accent1" w:themeShade="80"/>
        </w:rPr>
        <w:t xml:space="preserve">es verrous comptables </w:t>
      </w:r>
      <w:r w:rsidRPr="0014141C">
        <w:rPr>
          <w:i/>
          <w:color w:val="1F4E79" w:themeColor="accent1" w:themeShade="80"/>
        </w:rPr>
        <w:t>ci-dessus (liste non exhausti</w:t>
      </w:r>
      <w:r w:rsidR="004C4375" w:rsidRPr="0014141C">
        <w:rPr>
          <w:i/>
          <w:color w:val="1F4E79" w:themeColor="accent1" w:themeShade="80"/>
        </w:rPr>
        <w:t>ve</w:t>
      </w:r>
      <w:r w:rsidRPr="0014141C">
        <w:rPr>
          <w:i/>
          <w:color w:val="1F4E79" w:themeColor="accent1" w:themeShade="80"/>
        </w:rPr>
        <w:t xml:space="preserve">) </w:t>
      </w:r>
      <w:r w:rsidR="00FC3F6A" w:rsidRPr="0014141C">
        <w:rPr>
          <w:i/>
          <w:color w:val="1F4E79" w:themeColor="accent1" w:themeShade="80"/>
        </w:rPr>
        <w:t>seront levés</w:t>
      </w:r>
      <w:r w:rsidR="00167E24" w:rsidRPr="0014141C">
        <w:rPr>
          <w:i/>
          <w:color w:val="1F4E79" w:themeColor="accent1" w:themeShade="80"/>
        </w:rPr>
        <w:t>.</w:t>
      </w:r>
    </w:p>
    <w:p w14:paraId="61F05671" w14:textId="42698C16" w:rsidR="008B6852" w:rsidRPr="0014141C" w:rsidRDefault="008B6852" w:rsidP="003C34C2">
      <w:pPr>
        <w:rPr>
          <w:i/>
          <w:color w:val="ED7D31" w:themeColor="accent2"/>
        </w:rPr>
      </w:pPr>
    </w:p>
    <w:p w14:paraId="5B608587" w14:textId="1972A134" w:rsidR="00BB3E34" w:rsidRPr="0014141C" w:rsidRDefault="00587513" w:rsidP="000A286A">
      <w:r w:rsidRPr="0014141C">
        <w:t xml:space="preserve">Les </w:t>
      </w:r>
      <w:r w:rsidR="00BB3E34" w:rsidRPr="0014141C">
        <w:t>délais de déclaration rendent impossibles</w:t>
      </w:r>
      <w:r w:rsidRPr="0014141C">
        <w:t xml:space="preserve"> dans certains cas</w:t>
      </w:r>
      <w:r w:rsidR="00BB3E34" w:rsidRPr="0014141C">
        <w:t xml:space="preserve"> la remise de VL et portefeuilles « validés CAC ». </w:t>
      </w:r>
      <w:r w:rsidR="00F775C3" w:rsidRPr="0014141C">
        <w:t xml:space="preserve"> </w:t>
      </w:r>
    </w:p>
    <w:p w14:paraId="2376C10F" w14:textId="3AF0BFFC" w:rsidR="008B6852" w:rsidRPr="0014141C" w:rsidRDefault="008B6852" w:rsidP="00BB3E34">
      <w:pPr>
        <w:rPr>
          <w:i/>
          <w:color w:val="1F4E79" w:themeColor="accent1" w:themeShade="80"/>
        </w:rPr>
      </w:pPr>
      <w:r w:rsidRPr="0014141C">
        <w:rPr>
          <w:b/>
          <w:i/>
          <w:color w:val="1F4E79" w:themeColor="accent1" w:themeShade="80"/>
        </w:rPr>
        <w:t>Réponse BDF</w:t>
      </w:r>
      <w:r w:rsidRPr="0014141C">
        <w:rPr>
          <w:i/>
          <w:color w:val="1F4E79" w:themeColor="accent1" w:themeShade="80"/>
        </w:rPr>
        <w:t xml:space="preserve"> : Les remises à la Banque de France sont fournies à des fins de statistiques. Il n’est donc pas utile que les valeurs liquidatives déclarées </w:t>
      </w:r>
      <w:r w:rsidR="00BB3E34" w:rsidRPr="0014141C">
        <w:rPr>
          <w:i/>
          <w:color w:val="1F4E79" w:themeColor="accent1" w:themeShade="80"/>
        </w:rPr>
        <w:t>et les portefeuilles aient été validé</w:t>
      </w:r>
      <w:r w:rsidRPr="0014141C">
        <w:rPr>
          <w:i/>
          <w:color w:val="1F4E79" w:themeColor="accent1" w:themeShade="80"/>
        </w:rPr>
        <w:t>s par le commissaire aux comptes</w:t>
      </w:r>
      <w:r w:rsidR="00F55904" w:rsidRPr="0014141C">
        <w:rPr>
          <w:i/>
          <w:color w:val="1F4E79" w:themeColor="accent1" w:themeShade="80"/>
        </w:rPr>
        <w:t xml:space="preserve">. </w:t>
      </w:r>
      <w:r w:rsidRPr="0014141C">
        <w:rPr>
          <w:i/>
          <w:color w:val="1F4E79" w:themeColor="accent1" w:themeShade="80"/>
        </w:rPr>
        <w:t>Une mention sera apportée sur le cahier des charges pour faire apparaitre ce point.</w:t>
      </w:r>
    </w:p>
    <w:p w14:paraId="399CF30B" w14:textId="77777777" w:rsidR="00FC3F6A" w:rsidRDefault="00FC3F6A" w:rsidP="00FC3245">
      <w:pPr>
        <w:pStyle w:val="Paragraphedeliste"/>
        <w:rPr>
          <w:i/>
          <w:color w:val="2F5496" w:themeColor="accent5" w:themeShade="BF"/>
          <w:sz w:val="20"/>
        </w:rPr>
      </w:pPr>
    </w:p>
    <w:p w14:paraId="5524BCDE" w14:textId="6ECD3449" w:rsidR="00FC3F6A" w:rsidRPr="003C34C2" w:rsidRDefault="000A523A" w:rsidP="00FC3F6A">
      <w:pPr>
        <w:pStyle w:val="Paragraphedeliste"/>
        <w:numPr>
          <w:ilvl w:val="0"/>
          <w:numId w:val="7"/>
        </w:numPr>
        <w:rPr>
          <w:i/>
          <w:sz w:val="28"/>
        </w:rPr>
      </w:pPr>
      <w:r w:rsidRPr="003C34C2">
        <w:rPr>
          <w:i/>
          <w:sz w:val="28"/>
        </w:rPr>
        <w:t>Problèmes lié</w:t>
      </w:r>
      <w:r w:rsidR="00E6208D">
        <w:rPr>
          <w:i/>
          <w:sz w:val="28"/>
        </w:rPr>
        <w:t>s</w:t>
      </w:r>
      <w:r w:rsidRPr="003C34C2">
        <w:rPr>
          <w:i/>
          <w:sz w:val="28"/>
        </w:rPr>
        <w:t xml:space="preserve"> </w:t>
      </w:r>
      <w:r w:rsidR="00FC3F6A" w:rsidRPr="003C34C2">
        <w:rPr>
          <w:i/>
          <w:sz w:val="28"/>
        </w:rPr>
        <w:t>aux règles de gestion de l’applicatif</w:t>
      </w:r>
    </w:p>
    <w:p w14:paraId="7D6E829C" w14:textId="77777777" w:rsidR="00DC6470" w:rsidRDefault="00DC6470" w:rsidP="00DC6470">
      <w:pPr>
        <w:rPr>
          <w:i/>
          <w:color w:val="2F5496" w:themeColor="accent5" w:themeShade="BF"/>
          <w:sz w:val="20"/>
        </w:rPr>
      </w:pPr>
    </w:p>
    <w:p w14:paraId="7D23686B" w14:textId="4B92FB15" w:rsidR="00584C41" w:rsidRPr="0014141C" w:rsidRDefault="00584C41" w:rsidP="003C34C2">
      <w:pPr>
        <w:pStyle w:val="Paragraphedeliste"/>
        <w:numPr>
          <w:ilvl w:val="0"/>
          <w:numId w:val="9"/>
        </w:numPr>
        <w:ind w:left="426" w:hanging="426"/>
        <w:rPr>
          <w:i/>
          <w:color w:val="ED7D31" w:themeColor="accent2"/>
          <w:sz w:val="24"/>
        </w:rPr>
      </w:pPr>
      <w:r w:rsidRPr="0014141C">
        <w:rPr>
          <w:i/>
          <w:color w:val="ED7D31" w:themeColor="accent2"/>
          <w:sz w:val="24"/>
        </w:rPr>
        <w:t>Justificatif de fin de remise pour société de gestion</w:t>
      </w:r>
    </w:p>
    <w:p w14:paraId="1395A571" w14:textId="38BCB13E" w:rsidR="00DC6470" w:rsidRPr="0014141C" w:rsidRDefault="001F24DF" w:rsidP="003C34C2">
      <w:r w:rsidRPr="0014141C">
        <w:t xml:space="preserve">Les sociétés de gestion sont en demande de justificatifs concernant </w:t>
      </w:r>
      <w:r w:rsidR="00EC4002" w:rsidRPr="0014141C">
        <w:t xml:space="preserve">le dépôt </w:t>
      </w:r>
      <w:r w:rsidR="00587513" w:rsidRPr="0014141C">
        <w:t xml:space="preserve">à bonne date </w:t>
      </w:r>
      <w:r w:rsidR="00EC4002" w:rsidRPr="0014141C">
        <w:t>d</w:t>
      </w:r>
      <w:r w:rsidRPr="0014141C">
        <w:t>es déclarations de</w:t>
      </w:r>
      <w:r w:rsidR="00EC4002" w:rsidRPr="0014141C">
        <w:t>s</w:t>
      </w:r>
      <w:r w:rsidRPr="0014141C">
        <w:t xml:space="preserve"> fonds</w:t>
      </w:r>
      <w:r w:rsidR="00EC4002" w:rsidRPr="0014141C">
        <w:t xml:space="preserve"> qu’elles gèrent</w:t>
      </w:r>
      <w:r w:rsidRPr="0014141C">
        <w:t>. Est-il possible</w:t>
      </w:r>
      <w:r w:rsidR="00DC6470" w:rsidRPr="0014141C">
        <w:t xml:space="preserve"> de </w:t>
      </w:r>
      <w:r w:rsidRPr="0014141C">
        <w:t xml:space="preserve">disposer d’un </w:t>
      </w:r>
      <w:r w:rsidR="00DC6470" w:rsidRPr="0014141C">
        <w:t xml:space="preserve">message ou </w:t>
      </w:r>
      <w:r w:rsidRPr="0014141C">
        <w:t xml:space="preserve">d’une </w:t>
      </w:r>
      <w:r w:rsidR="00DC6470" w:rsidRPr="0014141C">
        <w:t xml:space="preserve">alerte </w:t>
      </w:r>
      <w:r w:rsidR="00EC4002" w:rsidRPr="0014141C">
        <w:t>destiné aux</w:t>
      </w:r>
      <w:r w:rsidR="00DC6470" w:rsidRPr="0014141C">
        <w:t xml:space="preserve"> sociétés de gestion </w:t>
      </w:r>
      <w:r w:rsidR="00EC4002" w:rsidRPr="0014141C">
        <w:t>(Sdg)</w:t>
      </w:r>
      <w:r w:rsidR="002046A8" w:rsidRPr="0014141C">
        <w:t> ?</w:t>
      </w:r>
    </w:p>
    <w:p w14:paraId="70DC9D7E" w14:textId="77777777" w:rsidR="00BB3E34" w:rsidRPr="0014141C" w:rsidRDefault="00DC6470" w:rsidP="00DC6470">
      <w:pPr>
        <w:rPr>
          <w:i/>
          <w:color w:val="1F4E79" w:themeColor="accent1" w:themeShade="80"/>
        </w:rPr>
      </w:pPr>
      <w:r w:rsidRPr="0014141C">
        <w:rPr>
          <w:b/>
          <w:i/>
          <w:color w:val="1F4E79" w:themeColor="accent1" w:themeShade="80"/>
        </w:rPr>
        <w:lastRenderedPageBreak/>
        <w:t>Réponse BDF</w:t>
      </w:r>
      <w:r w:rsidRPr="0014141C">
        <w:rPr>
          <w:i/>
          <w:color w:val="1F4E79" w:themeColor="accent1" w:themeShade="80"/>
        </w:rPr>
        <w:t xml:space="preserve"> : </w:t>
      </w:r>
      <w:r w:rsidR="00BB3E34" w:rsidRPr="0014141C">
        <w:rPr>
          <w:i/>
          <w:color w:val="1F4E79" w:themeColor="accent1" w:themeShade="80"/>
        </w:rPr>
        <w:t>Jusqu’à la mise en production d’OPC2, aucun flux automatique d’accusé de réception vers la Sdg ne peut être envisagé. Pour OPC2 il y a 2 options :</w:t>
      </w:r>
    </w:p>
    <w:p w14:paraId="6EF8A2CF" w14:textId="3368564F" w:rsidR="00DC6470" w:rsidRPr="0014141C" w:rsidRDefault="00BB3E34" w:rsidP="00DC6470">
      <w:pPr>
        <w:rPr>
          <w:i/>
          <w:color w:val="1F4E79" w:themeColor="accent1" w:themeShade="80"/>
        </w:rPr>
      </w:pPr>
      <w:r w:rsidRPr="0014141C">
        <w:rPr>
          <w:i/>
          <w:color w:val="1F4E79" w:themeColor="accent1" w:themeShade="80"/>
        </w:rPr>
        <w:t xml:space="preserve">- </w:t>
      </w:r>
      <w:r w:rsidR="00DC6470" w:rsidRPr="0014141C">
        <w:rPr>
          <w:i/>
          <w:color w:val="1F4E79" w:themeColor="accent1" w:themeShade="80"/>
        </w:rPr>
        <w:t xml:space="preserve">le nouveau </w:t>
      </w:r>
      <w:r w:rsidR="009B024B" w:rsidRPr="0014141C">
        <w:rPr>
          <w:i/>
          <w:color w:val="1F4E79" w:themeColor="accent1" w:themeShade="80"/>
        </w:rPr>
        <w:t xml:space="preserve">portail Onegate </w:t>
      </w:r>
      <w:r w:rsidR="001F24DF" w:rsidRPr="0014141C">
        <w:rPr>
          <w:i/>
          <w:color w:val="1F4E79" w:themeColor="accent1" w:themeShade="80"/>
        </w:rPr>
        <w:t xml:space="preserve">dispose de </w:t>
      </w:r>
      <w:r w:rsidR="00AB5B66" w:rsidRPr="0014141C">
        <w:rPr>
          <w:i/>
          <w:color w:val="1F4E79" w:themeColor="accent1" w:themeShade="80"/>
        </w:rPr>
        <w:t xml:space="preserve">2 types de </w:t>
      </w:r>
      <w:r w:rsidR="00F775C3" w:rsidRPr="0014141C">
        <w:rPr>
          <w:i/>
          <w:color w:val="1F4E79" w:themeColor="accent1" w:themeShade="80"/>
        </w:rPr>
        <w:t>connexion</w:t>
      </w:r>
      <w:r w:rsidR="008B6852" w:rsidRPr="0014141C">
        <w:rPr>
          <w:i/>
          <w:color w:val="1F4E79" w:themeColor="accent1" w:themeShade="80"/>
        </w:rPr>
        <w:t> </w:t>
      </w:r>
      <w:r w:rsidR="00AB5B66" w:rsidRPr="0014141C">
        <w:rPr>
          <w:i/>
          <w:color w:val="1F4E79" w:themeColor="accent1" w:themeShade="80"/>
        </w:rPr>
        <w:t>: une pour les remettants qui effectueront les remises, une pour les déclarants (les SGP responsable</w:t>
      </w:r>
      <w:r w:rsidR="001F24DF" w:rsidRPr="0014141C">
        <w:rPr>
          <w:i/>
          <w:color w:val="1F4E79" w:themeColor="accent1" w:themeShade="80"/>
        </w:rPr>
        <w:t>s</w:t>
      </w:r>
      <w:r w:rsidR="00AB5B66" w:rsidRPr="0014141C">
        <w:rPr>
          <w:i/>
          <w:color w:val="1F4E79" w:themeColor="accent1" w:themeShade="80"/>
        </w:rPr>
        <w:t xml:space="preserve"> juridiquement) qui pourront se connecter pour vérifier si l’ensemble de ses remises sont OK.</w:t>
      </w:r>
    </w:p>
    <w:p w14:paraId="562F0960" w14:textId="7C0E31C3" w:rsidR="008B6852" w:rsidRDefault="0020486B" w:rsidP="00DC6470">
      <w:pPr>
        <w:rPr>
          <w:i/>
          <w:color w:val="1F4E79" w:themeColor="accent1" w:themeShade="80"/>
        </w:rPr>
      </w:pPr>
      <w:r w:rsidRPr="0014141C">
        <w:rPr>
          <w:i/>
          <w:color w:val="1F4E79" w:themeColor="accent1" w:themeShade="80"/>
        </w:rPr>
        <w:t xml:space="preserve">- </w:t>
      </w:r>
      <w:r w:rsidR="008B6852" w:rsidRPr="0014141C">
        <w:rPr>
          <w:i/>
          <w:color w:val="1F4E79" w:themeColor="accent1" w:themeShade="80"/>
        </w:rPr>
        <w:t xml:space="preserve">Si </w:t>
      </w:r>
      <w:r w:rsidRPr="0014141C">
        <w:rPr>
          <w:i/>
          <w:color w:val="1F4E79" w:themeColor="accent1" w:themeShade="80"/>
        </w:rPr>
        <w:t>le système</w:t>
      </w:r>
      <w:r w:rsidR="008B6852" w:rsidRPr="0014141C">
        <w:rPr>
          <w:i/>
          <w:color w:val="1F4E79" w:themeColor="accent1" w:themeShade="80"/>
        </w:rPr>
        <w:t xml:space="preserve"> est trop complexe </w:t>
      </w:r>
      <w:r w:rsidRPr="0014141C">
        <w:rPr>
          <w:i/>
          <w:color w:val="1F4E79" w:themeColor="accent1" w:themeShade="80"/>
        </w:rPr>
        <w:t>à mettre en place</w:t>
      </w:r>
      <w:r w:rsidR="00BB3E34" w:rsidRPr="0014141C">
        <w:rPr>
          <w:i/>
          <w:color w:val="1F4E79" w:themeColor="accent1" w:themeShade="80"/>
        </w:rPr>
        <w:t xml:space="preserve"> </w:t>
      </w:r>
      <w:r w:rsidR="008B6852" w:rsidRPr="0014141C">
        <w:rPr>
          <w:i/>
          <w:color w:val="1F4E79" w:themeColor="accent1" w:themeShade="80"/>
        </w:rPr>
        <w:t>(</w:t>
      </w:r>
      <w:r w:rsidR="006A462C" w:rsidRPr="0014141C">
        <w:rPr>
          <w:i/>
          <w:color w:val="1F4E79" w:themeColor="accent1" w:themeShade="80"/>
        </w:rPr>
        <w:t xml:space="preserve">car </w:t>
      </w:r>
      <w:r w:rsidR="008B6852" w:rsidRPr="0014141C">
        <w:rPr>
          <w:i/>
          <w:color w:val="1F4E79" w:themeColor="accent1" w:themeShade="80"/>
        </w:rPr>
        <w:t>nécessit</w:t>
      </w:r>
      <w:r w:rsidR="006A462C" w:rsidRPr="0014141C">
        <w:rPr>
          <w:i/>
          <w:color w:val="1F4E79" w:themeColor="accent1" w:themeShade="80"/>
        </w:rPr>
        <w:t>ant</w:t>
      </w:r>
      <w:r w:rsidR="008B6852" w:rsidRPr="0014141C">
        <w:rPr>
          <w:i/>
          <w:color w:val="1F4E79" w:themeColor="accent1" w:themeShade="80"/>
        </w:rPr>
        <w:t xml:space="preserve"> une</w:t>
      </w:r>
      <w:r w:rsidR="009B024B" w:rsidRPr="0014141C">
        <w:rPr>
          <w:i/>
          <w:color w:val="1F4E79" w:themeColor="accent1" w:themeShade="80"/>
        </w:rPr>
        <w:t xml:space="preserve"> gestion </w:t>
      </w:r>
      <w:r w:rsidR="006A462C" w:rsidRPr="0014141C">
        <w:rPr>
          <w:i/>
          <w:color w:val="1F4E79" w:themeColor="accent1" w:themeShade="80"/>
        </w:rPr>
        <w:t>quotidienne</w:t>
      </w:r>
      <w:r w:rsidR="009B024B" w:rsidRPr="0014141C">
        <w:rPr>
          <w:i/>
          <w:color w:val="1F4E79" w:themeColor="accent1" w:themeShade="80"/>
        </w:rPr>
        <w:t xml:space="preserve"> du lien </w:t>
      </w:r>
      <w:r w:rsidR="008B6852" w:rsidRPr="0014141C">
        <w:rPr>
          <w:i/>
          <w:color w:val="1F4E79" w:themeColor="accent1" w:themeShade="80"/>
        </w:rPr>
        <w:t>remettant/</w:t>
      </w:r>
      <w:r w:rsidR="00F775C3" w:rsidRPr="0014141C">
        <w:rPr>
          <w:i/>
          <w:color w:val="1F4E79" w:themeColor="accent1" w:themeShade="80"/>
        </w:rPr>
        <w:t>société</w:t>
      </w:r>
      <w:r w:rsidR="008B6852" w:rsidRPr="0014141C">
        <w:rPr>
          <w:i/>
          <w:color w:val="1F4E79" w:themeColor="accent1" w:themeShade="80"/>
        </w:rPr>
        <w:t xml:space="preserve"> de gestion / fonds </w:t>
      </w:r>
      <w:r w:rsidR="006A462C" w:rsidRPr="0014141C">
        <w:rPr>
          <w:i/>
          <w:color w:val="1F4E79" w:themeColor="accent1" w:themeShade="80"/>
        </w:rPr>
        <w:t xml:space="preserve">gérés </w:t>
      </w:r>
      <w:r w:rsidR="008B6852" w:rsidRPr="0014141C">
        <w:rPr>
          <w:i/>
          <w:color w:val="1F4E79" w:themeColor="accent1" w:themeShade="80"/>
        </w:rPr>
        <w:t>pour les accès)</w:t>
      </w:r>
      <w:r w:rsidR="006A462C" w:rsidRPr="0014141C">
        <w:rPr>
          <w:i/>
          <w:color w:val="1F4E79" w:themeColor="accent1" w:themeShade="80"/>
        </w:rPr>
        <w:t>,</w:t>
      </w:r>
      <w:r w:rsidR="00AB5B66" w:rsidRPr="0014141C">
        <w:rPr>
          <w:i/>
          <w:color w:val="1F4E79" w:themeColor="accent1" w:themeShade="80"/>
        </w:rPr>
        <w:t xml:space="preserve"> un</w:t>
      </w:r>
      <w:r w:rsidR="00587513" w:rsidRPr="0014141C">
        <w:rPr>
          <w:i/>
          <w:color w:val="1F4E79" w:themeColor="accent1" w:themeShade="80"/>
        </w:rPr>
        <w:t>e autre solution</w:t>
      </w:r>
      <w:r w:rsidR="00AB5B66" w:rsidRPr="0014141C">
        <w:rPr>
          <w:i/>
          <w:color w:val="1F4E79" w:themeColor="accent1" w:themeShade="80"/>
        </w:rPr>
        <w:t xml:space="preserve"> sera</w:t>
      </w:r>
      <w:r w:rsidR="00F55904" w:rsidRPr="0014141C">
        <w:rPr>
          <w:i/>
          <w:color w:val="1F4E79" w:themeColor="accent1" w:themeShade="80"/>
        </w:rPr>
        <w:t xml:space="preserve"> </w:t>
      </w:r>
      <w:r w:rsidR="00587513" w:rsidRPr="0014141C">
        <w:rPr>
          <w:i/>
          <w:color w:val="1F4E79" w:themeColor="accent1" w:themeShade="80"/>
        </w:rPr>
        <w:t>envisagée</w:t>
      </w:r>
      <w:r w:rsidR="00AB5B66" w:rsidRPr="0014141C">
        <w:rPr>
          <w:i/>
          <w:color w:val="1F4E79" w:themeColor="accent1" w:themeShade="80"/>
        </w:rPr>
        <w:t xml:space="preserve"> par la BDF pour que les SG soient prévenues</w:t>
      </w:r>
      <w:r w:rsidR="007F5325">
        <w:rPr>
          <w:i/>
          <w:color w:val="1F4E79" w:themeColor="accent1" w:themeShade="80"/>
        </w:rPr>
        <w:t>.</w:t>
      </w:r>
    </w:p>
    <w:p w14:paraId="47980F55" w14:textId="6A2AF605" w:rsidR="00D63CB2" w:rsidRDefault="00D63CB2" w:rsidP="00DC6470">
      <w:pPr>
        <w:rPr>
          <w:i/>
          <w:color w:val="1F4E79" w:themeColor="accent1" w:themeShade="80"/>
        </w:rPr>
      </w:pPr>
    </w:p>
    <w:p w14:paraId="701387A8" w14:textId="5D1853C9" w:rsidR="004F548B" w:rsidRPr="003F4E8C" w:rsidRDefault="00794C48" w:rsidP="00794C48">
      <w:pPr>
        <w:pBdr>
          <w:top w:val="single" w:sz="4" w:space="1" w:color="auto"/>
          <w:left w:val="single" w:sz="4" w:space="4" w:color="auto"/>
          <w:bottom w:val="single" w:sz="4" w:space="0" w:color="auto"/>
          <w:right w:val="single" w:sz="4" w:space="4" w:color="auto"/>
        </w:pBdr>
        <w:rPr>
          <w:color w:val="FF0000"/>
          <w:u w:val="single"/>
        </w:rPr>
      </w:pPr>
      <w:r w:rsidRPr="003F4E8C">
        <w:rPr>
          <w:b/>
          <w:color w:val="FF0000"/>
          <w:sz w:val="24"/>
        </w:rPr>
        <w:t>D</w:t>
      </w:r>
      <w:r w:rsidR="003F4E8C" w:rsidRPr="003F4E8C">
        <w:rPr>
          <w:b/>
          <w:color w:val="FF0000"/>
          <w:sz w:val="24"/>
        </w:rPr>
        <w:t xml:space="preserve">écision de </w:t>
      </w:r>
      <w:r w:rsidRPr="003F4E8C">
        <w:rPr>
          <w:b/>
          <w:color w:val="FF0000"/>
          <w:sz w:val="24"/>
        </w:rPr>
        <w:t>juin2020</w:t>
      </w:r>
      <w:r w:rsidR="00D63CB2">
        <w:rPr>
          <w:b/>
          <w:color w:val="00B050"/>
        </w:rPr>
        <w:t xml:space="preserve">: </w:t>
      </w:r>
      <w:r w:rsidR="00D63CB2" w:rsidRPr="003F4E8C">
        <w:rPr>
          <w:color w:val="FF0000"/>
        </w:rPr>
        <w:t xml:space="preserve">contrairement à ce </w:t>
      </w:r>
      <w:r w:rsidR="00801AD3" w:rsidRPr="003F4E8C">
        <w:rPr>
          <w:color w:val="FF0000"/>
        </w:rPr>
        <w:t>qu</w:t>
      </w:r>
      <w:r w:rsidR="00801AD3">
        <w:rPr>
          <w:color w:val="FF0000"/>
        </w:rPr>
        <w:t>i</w:t>
      </w:r>
      <w:r w:rsidR="00801AD3" w:rsidRPr="003F4E8C">
        <w:rPr>
          <w:color w:val="FF0000"/>
        </w:rPr>
        <w:t xml:space="preserve"> </w:t>
      </w:r>
      <w:r w:rsidR="00D63CB2" w:rsidRPr="003F4E8C">
        <w:rPr>
          <w:color w:val="FF0000"/>
        </w:rPr>
        <w:t xml:space="preserve">a été dit </w:t>
      </w:r>
      <w:r w:rsidR="00021210" w:rsidRPr="003F4E8C">
        <w:rPr>
          <w:color w:val="FF0000"/>
        </w:rPr>
        <w:t>en TELCO (voir</w:t>
      </w:r>
      <w:r w:rsidR="00E35059">
        <w:rPr>
          <w:color w:val="FF0000"/>
        </w:rPr>
        <w:t xml:space="preserve"> note de bas de page</w:t>
      </w:r>
      <w:r w:rsidR="00EB64F2">
        <w:rPr>
          <w:rStyle w:val="Appelnotedebasdep"/>
          <w:color w:val="FF0000"/>
        </w:rPr>
        <w:footnoteReference w:id="2"/>
      </w:r>
      <w:r w:rsidR="00EB64F2">
        <w:rPr>
          <w:color w:val="FF0000"/>
        </w:rPr>
        <w:t>)</w:t>
      </w:r>
      <w:r w:rsidR="00021210" w:rsidRPr="003F4E8C">
        <w:rPr>
          <w:color w:val="FF0000"/>
        </w:rPr>
        <w:t xml:space="preserve"> et pour les raisons pressenties de complexité de gestion des multiples droits remettant/société de gestion/fonds</w:t>
      </w:r>
      <w:r w:rsidR="004F548B" w:rsidRPr="003F4E8C">
        <w:rPr>
          <w:color w:val="FF0000"/>
        </w:rPr>
        <w:t xml:space="preserve"> dans Onegate</w:t>
      </w:r>
      <w:r w:rsidR="00021210" w:rsidRPr="003F4E8C">
        <w:rPr>
          <w:color w:val="FF0000"/>
        </w:rPr>
        <w:t xml:space="preserve">, </w:t>
      </w:r>
      <w:r w:rsidR="00021210" w:rsidRPr="003F4E8C">
        <w:rPr>
          <w:color w:val="FF0000"/>
          <w:u w:val="single"/>
        </w:rPr>
        <w:t xml:space="preserve">les sociétés de gestions </w:t>
      </w:r>
      <w:r w:rsidR="00801AD3" w:rsidRPr="003F4E8C">
        <w:rPr>
          <w:color w:val="FF0000"/>
          <w:u w:val="single"/>
        </w:rPr>
        <w:t>recevron</w:t>
      </w:r>
      <w:r w:rsidR="00801AD3">
        <w:rPr>
          <w:color w:val="FF0000"/>
          <w:u w:val="single"/>
        </w:rPr>
        <w:t>t</w:t>
      </w:r>
      <w:r w:rsidR="00801AD3" w:rsidRPr="003F4E8C">
        <w:rPr>
          <w:color w:val="FF0000"/>
          <w:u w:val="single"/>
        </w:rPr>
        <w:t xml:space="preserve"> </w:t>
      </w:r>
      <w:r w:rsidR="00021210" w:rsidRPr="003F4E8C">
        <w:rPr>
          <w:color w:val="FF0000"/>
          <w:u w:val="single"/>
        </w:rPr>
        <w:t xml:space="preserve">un mail automatisé </w:t>
      </w:r>
      <w:r w:rsidR="004F548B" w:rsidRPr="003F4E8C">
        <w:rPr>
          <w:color w:val="FF0000"/>
          <w:u w:val="single"/>
        </w:rPr>
        <w:t xml:space="preserve">et synthétique </w:t>
      </w:r>
      <w:r w:rsidR="00021210" w:rsidRPr="003F4E8C">
        <w:rPr>
          <w:color w:val="FF0000"/>
          <w:u w:val="single"/>
        </w:rPr>
        <w:t xml:space="preserve">de </w:t>
      </w:r>
      <w:r w:rsidR="00801AD3" w:rsidRPr="003F4E8C">
        <w:rPr>
          <w:color w:val="FF0000"/>
          <w:u w:val="single"/>
        </w:rPr>
        <w:t>compte</w:t>
      </w:r>
      <w:r w:rsidR="00801AD3">
        <w:rPr>
          <w:color w:val="FF0000"/>
          <w:u w:val="single"/>
        </w:rPr>
        <w:t>-</w:t>
      </w:r>
      <w:r w:rsidR="00021210" w:rsidRPr="003F4E8C">
        <w:rPr>
          <w:color w:val="FF0000"/>
          <w:u w:val="single"/>
        </w:rPr>
        <w:t>rendu de collecte</w:t>
      </w:r>
      <w:r w:rsidR="003F4E8C" w:rsidRPr="003F4E8C">
        <w:rPr>
          <w:color w:val="FF0000"/>
          <w:u w:val="single"/>
        </w:rPr>
        <w:t xml:space="preserve"> envoyé par la BDF</w:t>
      </w:r>
    </w:p>
    <w:p w14:paraId="24FA60E2" w14:textId="095338E3" w:rsidR="00794C48" w:rsidRPr="003F4E8C" w:rsidRDefault="004F548B" w:rsidP="00794C48">
      <w:pPr>
        <w:pBdr>
          <w:top w:val="single" w:sz="4" w:space="1" w:color="auto"/>
          <w:left w:val="single" w:sz="4" w:space="4" w:color="auto"/>
          <w:bottom w:val="single" w:sz="4" w:space="0" w:color="auto"/>
          <w:right w:val="single" w:sz="4" w:space="4" w:color="auto"/>
        </w:pBdr>
        <w:spacing w:after="0"/>
        <w:rPr>
          <w:color w:val="FF0000"/>
        </w:rPr>
      </w:pPr>
      <w:r w:rsidRPr="003F4E8C">
        <w:rPr>
          <w:color w:val="FF0000"/>
        </w:rPr>
        <w:t>Exemple </w:t>
      </w:r>
      <w:r w:rsidR="00E35059">
        <w:rPr>
          <w:color w:val="FF0000"/>
        </w:rPr>
        <w:t xml:space="preserve">de message pour </w:t>
      </w:r>
      <w:r w:rsidRPr="003F4E8C">
        <w:rPr>
          <w:color w:val="FF0000"/>
        </w:rPr>
        <w:t>une SGP passant</w:t>
      </w:r>
      <w:r w:rsidR="00794C48" w:rsidRPr="003F4E8C">
        <w:rPr>
          <w:color w:val="FF0000"/>
        </w:rPr>
        <w:t xml:space="preserve"> par 2 remettants pour </w:t>
      </w:r>
      <w:r w:rsidRPr="003F4E8C">
        <w:rPr>
          <w:color w:val="FF0000"/>
        </w:rPr>
        <w:t>100 fonds</w:t>
      </w:r>
      <w:r w:rsidR="00794C48" w:rsidRPr="003F4E8C">
        <w:rPr>
          <w:color w:val="FF0000"/>
        </w:rPr>
        <w:t> :</w:t>
      </w:r>
    </w:p>
    <w:p w14:paraId="50460897" w14:textId="2F2A6F6E" w:rsidR="00794C48" w:rsidRPr="003F4E8C" w:rsidRDefault="00794C48" w:rsidP="00794C48">
      <w:pPr>
        <w:pBdr>
          <w:top w:val="single" w:sz="4" w:space="1" w:color="auto"/>
          <w:left w:val="single" w:sz="4" w:space="4" w:color="auto"/>
          <w:bottom w:val="single" w:sz="4" w:space="0" w:color="auto"/>
          <w:right w:val="single" w:sz="4" w:space="4" w:color="auto"/>
        </w:pBdr>
        <w:spacing w:after="0"/>
        <w:rPr>
          <w:i/>
          <w:color w:val="FF0000"/>
        </w:rPr>
      </w:pPr>
      <w:r w:rsidRPr="003F4E8C">
        <w:rPr>
          <w:i/>
          <w:color w:val="FF0000"/>
        </w:rPr>
        <w:t>R</w:t>
      </w:r>
      <w:r w:rsidR="004F548B" w:rsidRPr="003F4E8C">
        <w:rPr>
          <w:i/>
          <w:color w:val="FF0000"/>
        </w:rPr>
        <w:t>emettant</w:t>
      </w:r>
      <w:r w:rsidRPr="003F4E8C">
        <w:rPr>
          <w:i/>
          <w:color w:val="FF0000"/>
        </w:rPr>
        <w:t xml:space="preserve"> </w:t>
      </w:r>
      <w:r w:rsidR="004F548B" w:rsidRPr="003F4E8C">
        <w:rPr>
          <w:i/>
          <w:color w:val="FF0000"/>
        </w:rPr>
        <w:t>1</w:t>
      </w:r>
      <w:r w:rsidRPr="003F4E8C">
        <w:rPr>
          <w:i/>
          <w:color w:val="FF0000"/>
        </w:rPr>
        <w:t> : C</w:t>
      </w:r>
      <w:r w:rsidR="004F548B" w:rsidRPr="003F4E8C">
        <w:rPr>
          <w:i/>
          <w:color w:val="FF0000"/>
        </w:rPr>
        <w:t xml:space="preserve">ollecte OK </w:t>
      </w:r>
      <w:r w:rsidRPr="003F4E8C">
        <w:rPr>
          <w:i/>
          <w:color w:val="FF0000"/>
        </w:rPr>
        <w:t>(sur 54</w:t>
      </w:r>
      <w:r w:rsidR="00E35059">
        <w:rPr>
          <w:i/>
          <w:color w:val="FF0000"/>
        </w:rPr>
        <w:t xml:space="preserve"> </w:t>
      </w:r>
      <w:r w:rsidRPr="003F4E8C">
        <w:rPr>
          <w:i/>
          <w:color w:val="FF0000"/>
        </w:rPr>
        <w:t>fonds attendus)</w:t>
      </w:r>
    </w:p>
    <w:p w14:paraId="47EEB668" w14:textId="55CA69A7" w:rsidR="00D63CB2" w:rsidRPr="003F4E8C" w:rsidRDefault="00794C48" w:rsidP="00794C48">
      <w:pPr>
        <w:pBdr>
          <w:top w:val="single" w:sz="4" w:space="1" w:color="auto"/>
          <w:left w:val="single" w:sz="4" w:space="4" w:color="auto"/>
          <w:bottom w:val="single" w:sz="4" w:space="0" w:color="auto"/>
          <w:right w:val="single" w:sz="4" w:space="4" w:color="auto"/>
        </w:pBdr>
        <w:spacing w:after="0"/>
        <w:rPr>
          <w:i/>
          <w:color w:val="FF0000"/>
        </w:rPr>
      </w:pPr>
      <w:r w:rsidRPr="003F4E8C">
        <w:rPr>
          <w:i/>
          <w:color w:val="FF0000"/>
        </w:rPr>
        <w:t>Remettant 2 : Collecte KO pour 2</w:t>
      </w:r>
      <w:r w:rsidR="00E35059">
        <w:rPr>
          <w:i/>
          <w:color w:val="FF0000"/>
        </w:rPr>
        <w:t xml:space="preserve"> </w:t>
      </w:r>
      <w:r w:rsidRPr="003F4E8C">
        <w:rPr>
          <w:i/>
          <w:color w:val="FF0000"/>
        </w:rPr>
        <w:t>fonds (sur 46 fonds attendus)</w:t>
      </w:r>
    </w:p>
    <w:p w14:paraId="48D5471E" w14:textId="6EFCB321" w:rsidR="00794C48" w:rsidRPr="003F4E8C" w:rsidRDefault="00794C48" w:rsidP="00794C48">
      <w:pPr>
        <w:pBdr>
          <w:top w:val="single" w:sz="4" w:space="1" w:color="auto"/>
          <w:left w:val="single" w:sz="4" w:space="4" w:color="auto"/>
          <w:bottom w:val="single" w:sz="4" w:space="0" w:color="auto"/>
          <w:right w:val="single" w:sz="4" w:space="4" w:color="auto"/>
        </w:pBdr>
        <w:spacing w:after="0"/>
        <w:rPr>
          <w:i/>
          <w:color w:val="FF0000"/>
        </w:rPr>
      </w:pPr>
      <w:r w:rsidRPr="003F4E8C">
        <w:rPr>
          <w:i/>
          <w:color w:val="FF0000"/>
        </w:rPr>
        <w:sym w:font="Wingdings" w:char="F0E0"/>
      </w:r>
      <w:r w:rsidRPr="003F4E8C">
        <w:rPr>
          <w:i/>
          <w:color w:val="FF0000"/>
        </w:rPr>
        <w:t>Fonds FRxxxxxxxxx déclaration non re</w:t>
      </w:r>
      <w:r w:rsidR="00E35059">
        <w:rPr>
          <w:i/>
          <w:color w:val="FF0000"/>
        </w:rPr>
        <w:t>ç</w:t>
      </w:r>
      <w:r w:rsidRPr="003F4E8C">
        <w:rPr>
          <w:i/>
          <w:color w:val="FF0000"/>
        </w:rPr>
        <w:t>ue</w:t>
      </w:r>
    </w:p>
    <w:p w14:paraId="2DA265C3" w14:textId="0B82F8C5" w:rsidR="00794C48" w:rsidRPr="003F4E8C" w:rsidRDefault="00794C48" w:rsidP="00794C48">
      <w:pPr>
        <w:pBdr>
          <w:top w:val="single" w:sz="4" w:space="1" w:color="auto"/>
          <w:left w:val="single" w:sz="4" w:space="4" w:color="auto"/>
          <w:bottom w:val="single" w:sz="4" w:space="0" w:color="auto"/>
          <w:right w:val="single" w:sz="4" w:space="4" w:color="auto"/>
        </w:pBdr>
        <w:spacing w:after="0"/>
        <w:rPr>
          <w:i/>
          <w:color w:val="FF0000"/>
        </w:rPr>
      </w:pPr>
      <w:r w:rsidRPr="003F4E8C">
        <w:rPr>
          <w:i/>
          <w:color w:val="FF0000"/>
        </w:rPr>
        <w:sym w:font="Wingdings" w:char="F0E0"/>
      </w:r>
      <w:r w:rsidRPr="003F4E8C">
        <w:rPr>
          <w:i/>
          <w:color w:val="FF0000"/>
        </w:rPr>
        <w:t xml:space="preserve">Fonds FRxxxxxxxxx déclaration </w:t>
      </w:r>
      <w:r w:rsidR="003F4E8C" w:rsidRPr="003F4E8C">
        <w:rPr>
          <w:i/>
          <w:color w:val="FF0000"/>
        </w:rPr>
        <w:t>re</w:t>
      </w:r>
      <w:r w:rsidR="00E35059">
        <w:rPr>
          <w:i/>
          <w:color w:val="FF0000"/>
        </w:rPr>
        <w:t>ç</w:t>
      </w:r>
      <w:r w:rsidR="003F4E8C" w:rsidRPr="003F4E8C">
        <w:rPr>
          <w:i/>
          <w:color w:val="FF0000"/>
        </w:rPr>
        <w:t>u</w:t>
      </w:r>
      <w:r w:rsidRPr="003F4E8C">
        <w:rPr>
          <w:i/>
          <w:color w:val="FF0000"/>
        </w:rPr>
        <w:t>e mais comportant des erreurs non corrigées.</w:t>
      </w:r>
      <w:bookmarkStart w:id="0" w:name="_GoBack"/>
      <w:bookmarkEnd w:id="0"/>
    </w:p>
    <w:p w14:paraId="50CC0B54" w14:textId="77777777" w:rsidR="00794C48" w:rsidRPr="003F4E8C" w:rsidRDefault="00794C48" w:rsidP="00794C48">
      <w:pPr>
        <w:pBdr>
          <w:top w:val="single" w:sz="4" w:space="1" w:color="auto"/>
          <w:left w:val="single" w:sz="4" w:space="4" w:color="auto"/>
          <w:bottom w:val="single" w:sz="4" w:space="0" w:color="auto"/>
          <w:right w:val="single" w:sz="4" w:space="4" w:color="auto"/>
        </w:pBdr>
        <w:spacing w:after="0"/>
        <w:rPr>
          <w:color w:val="FF0000"/>
        </w:rPr>
      </w:pPr>
    </w:p>
    <w:p w14:paraId="457773A2" w14:textId="58BA2166" w:rsidR="00794C48" w:rsidRPr="003F4E8C" w:rsidRDefault="003F4E8C" w:rsidP="00794C48">
      <w:pPr>
        <w:pBdr>
          <w:top w:val="single" w:sz="4" w:space="1" w:color="auto"/>
          <w:left w:val="single" w:sz="4" w:space="4" w:color="auto"/>
          <w:bottom w:val="single" w:sz="4" w:space="0" w:color="auto"/>
          <w:right w:val="single" w:sz="4" w:space="4" w:color="auto"/>
        </w:pBdr>
        <w:spacing w:after="0"/>
        <w:rPr>
          <w:color w:val="FF0000"/>
        </w:rPr>
      </w:pPr>
      <w:r w:rsidRPr="003F4E8C">
        <w:rPr>
          <w:color w:val="FF0000"/>
        </w:rPr>
        <w:t>(fond et forme du message automatique à discuter ; adresse mail de contact à envoyer à la BDF)</w:t>
      </w:r>
    </w:p>
    <w:p w14:paraId="7DA4D423" w14:textId="7562F5AE" w:rsidR="003F4E8C" w:rsidRDefault="003F4E8C" w:rsidP="00794C48">
      <w:pPr>
        <w:pBdr>
          <w:top w:val="single" w:sz="4" w:space="1" w:color="auto"/>
          <w:left w:val="single" w:sz="4" w:space="4" w:color="auto"/>
          <w:bottom w:val="single" w:sz="4" w:space="0" w:color="auto"/>
          <w:right w:val="single" w:sz="4" w:space="4" w:color="auto"/>
        </w:pBdr>
        <w:spacing w:after="0"/>
        <w:rPr>
          <w:b/>
          <w:color w:val="00B050"/>
        </w:rPr>
      </w:pPr>
    </w:p>
    <w:p w14:paraId="0D2CFB2E" w14:textId="77777777" w:rsidR="00D63CB2" w:rsidRDefault="00D63CB2" w:rsidP="00DC6470">
      <w:pPr>
        <w:rPr>
          <w:i/>
          <w:color w:val="1F4E79" w:themeColor="accent1" w:themeShade="80"/>
        </w:rPr>
      </w:pPr>
    </w:p>
    <w:p w14:paraId="385F3B37" w14:textId="48FC063D" w:rsidR="003F61F8" w:rsidRPr="000C1B3C" w:rsidRDefault="00EB64F2" w:rsidP="003F61F8">
      <w:pPr>
        <w:rPr>
          <w:i/>
          <w:color w:val="A8D08D" w:themeColor="accent6" w:themeTint="99"/>
          <w:sz w:val="20"/>
        </w:rPr>
      </w:pPr>
      <w:r>
        <w:rPr>
          <w:rStyle w:val="Appelnotedebasdep"/>
          <w:i/>
          <w:color w:val="A8D08D" w:themeColor="accent6" w:themeTint="99"/>
          <w:sz w:val="20"/>
        </w:rPr>
        <w:footnoteReference w:id="3"/>
      </w:r>
    </w:p>
    <w:p w14:paraId="7013D107" w14:textId="36DB9CBE" w:rsidR="00584C41" w:rsidRPr="0014141C" w:rsidRDefault="00584C41" w:rsidP="00FC3F6A">
      <w:pPr>
        <w:pStyle w:val="Paragraphedeliste"/>
        <w:numPr>
          <w:ilvl w:val="0"/>
          <w:numId w:val="9"/>
        </w:numPr>
        <w:ind w:left="426" w:hanging="426"/>
        <w:rPr>
          <w:i/>
          <w:color w:val="ED7D31" w:themeColor="accent2"/>
          <w:sz w:val="24"/>
        </w:rPr>
      </w:pPr>
      <w:r w:rsidRPr="0014141C">
        <w:rPr>
          <w:i/>
          <w:color w:val="ED7D31" w:themeColor="accent2"/>
          <w:sz w:val="24"/>
        </w:rPr>
        <w:t>Contraintes sur VL déclaré</w:t>
      </w:r>
      <w:r w:rsidR="00853FA5">
        <w:rPr>
          <w:i/>
          <w:color w:val="ED7D31" w:themeColor="accent2"/>
          <w:sz w:val="24"/>
        </w:rPr>
        <w:t>e</w:t>
      </w:r>
      <w:r w:rsidRPr="0014141C">
        <w:rPr>
          <w:i/>
          <w:color w:val="ED7D31" w:themeColor="accent2"/>
          <w:sz w:val="24"/>
        </w:rPr>
        <w:t>s</w:t>
      </w:r>
    </w:p>
    <w:p w14:paraId="6AAB9E4D" w14:textId="39D2AD85" w:rsidR="00FC3F6A" w:rsidRPr="0014141C" w:rsidRDefault="002046A8" w:rsidP="003C34C2">
      <w:r w:rsidRPr="0014141C">
        <w:t xml:space="preserve">Des </w:t>
      </w:r>
      <w:r w:rsidR="00587513" w:rsidRPr="0014141C">
        <w:t>c</w:t>
      </w:r>
      <w:r w:rsidR="00FC3F6A" w:rsidRPr="0014141C">
        <w:t>ontrainte</w:t>
      </w:r>
      <w:r w:rsidRPr="0014141C">
        <w:t xml:space="preserve">s relatives aux </w:t>
      </w:r>
      <w:r w:rsidR="00FC3F6A" w:rsidRPr="0014141C">
        <w:t>date</w:t>
      </w:r>
      <w:r w:rsidRPr="0014141C">
        <w:t>s</w:t>
      </w:r>
      <w:r w:rsidR="00FC3F6A" w:rsidRPr="0014141C">
        <w:t xml:space="preserve"> de VL</w:t>
      </w:r>
      <w:r w:rsidR="009505AC" w:rsidRPr="0014141C">
        <w:t xml:space="preserve"> autorisées</w:t>
      </w:r>
      <w:r w:rsidR="00FC3F6A" w:rsidRPr="0014141C">
        <w:t xml:space="preserve"> </w:t>
      </w:r>
      <w:r w:rsidRPr="0014141C">
        <w:t xml:space="preserve">sont actuellement imposées </w:t>
      </w:r>
      <w:r w:rsidR="00FC3F6A" w:rsidRPr="0014141C">
        <w:t xml:space="preserve">pour </w:t>
      </w:r>
      <w:r w:rsidR="00C4555E" w:rsidRPr="0014141C">
        <w:t xml:space="preserve">les </w:t>
      </w:r>
      <w:r w:rsidR="00FC3F6A" w:rsidRPr="0014141C">
        <w:t>déclaration</w:t>
      </w:r>
      <w:r w:rsidR="00C4555E" w:rsidRPr="0014141C">
        <w:t>s</w:t>
      </w:r>
      <w:r w:rsidR="00FC3F6A" w:rsidRPr="0014141C">
        <w:t xml:space="preserve"> des fonds à risque (M-8 maxi) et fonds immobiliers (M-3 maxi)</w:t>
      </w:r>
      <w:r w:rsidR="00167E24" w:rsidRPr="0014141C">
        <w:t xml:space="preserve">. Est-il envisagé </w:t>
      </w:r>
      <w:r w:rsidR="007C6A9A" w:rsidRPr="0014141C">
        <w:t xml:space="preserve">que le remettant puisse déclarer une date de VL </w:t>
      </w:r>
      <w:r w:rsidR="00580AE9" w:rsidRPr="0014141C">
        <w:t>plus ancienne</w:t>
      </w:r>
      <w:r w:rsidR="007C6A9A" w:rsidRPr="0014141C">
        <w:t xml:space="preserve"> (moins contraignant qu’actuellement)</w:t>
      </w:r>
      <w:r w:rsidR="009B024B" w:rsidRPr="0014141C">
        <w:t xml:space="preserve"> ou que le système reprenne</w:t>
      </w:r>
      <w:r w:rsidR="008B6852" w:rsidRPr="0014141C">
        <w:t xml:space="preserve"> la dernière déclaration disponible</w:t>
      </w:r>
      <w:r w:rsidRPr="0014141C">
        <w:t>?</w:t>
      </w:r>
    </w:p>
    <w:p w14:paraId="7B361EF6" w14:textId="527DDEF2" w:rsidR="00F775C3" w:rsidRPr="0014141C" w:rsidRDefault="009505AC">
      <w:pPr>
        <w:rPr>
          <w:i/>
          <w:color w:val="1F4E79" w:themeColor="accent1" w:themeShade="80"/>
        </w:rPr>
      </w:pPr>
      <w:r w:rsidRPr="0014141C">
        <w:rPr>
          <w:b/>
          <w:i/>
          <w:color w:val="1F4E79" w:themeColor="accent1" w:themeShade="80"/>
        </w:rPr>
        <w:t>Réponse BDF</w:t>
      </w:r>
      <w:r w:rsidRPr="0014141C">
        <w:rPr>
          <w:i/>
          <w:color w:val="1F4E79" w:themeColor="accent1" w:themeShade="80"/>
        </w:rPr>
        <w:t xml:space="preserve"> : </w:t>
      </w:r>
      <w:r w:rsidR="007C6A9A" w:rsidRPr="0014141C">
        <w:rPr>
          <w:i/>
          <w:color w:val="1F4E79" w:themeColor="accent1" w:themeShade="80"/>
        </w:rPr>
        <w:t>La</w:t>
      </w:r>
      <w:r w:rsidR="00167E24" w:rsidRPr="0014141C">
        <w:rPr>
          <w:i/>
          <w:color w:val="1F4E79" w:themeColor="accent1" w:themeShade="80"/>
        </w:rPr>
        <w:t xml:space="preserve"> date de VL à déclarer devr</w:t>
      </w:r>
      <w:r w:rsidR="007C6A9A" w:rsidRPr="0014141C">
        <w:rPr>
          <w:i/>
          <w:color w:val="1F4E79" w:themeColor="accent1" w:themeShade="80"/>
        </w:rPr>
        <w:t xml:space="preserve">a </w:t>
      </w:r>
      <w:r w:rsidR="00167E24" w:rsidRPr="0014141C">
        <w:rPr>
          <w:i/>
          <w:color w:val="1F4E79" w:themeColor="accent1" w:themeShade="80"/>
        </w:rPr>
        <w:t>être l</w:t>
      </w:r>
      <w:r w:rsidR="007C6A9A" w:rsidRPr="0014141C">
        <w:rPr>
          <w:i/>
          <w:color w:val="1F4E79" w:themeColor="accent1" w:themeShade="80"/>
        </w:rPr>
        <w:t>a dernière en possession du remettant et dans tous les cas la</w:t>
      </w:r>
      <w:r w:rsidR="00167E24" w:rsidRPr="0014141C">
        <w:rPr>
          <w:i/>
          <w:color w:val="1F4E79" w:themeColor="accent1" w:themeShade="80"/>
        </w:rPr>
        <w:t xml:space="preserve"> plus proche de la date d’arrêté. </w:t>
      </w:r>
      <w:r w:rsidR="00EC19D3" w:rsidRPr="0014141C">
        <w:rPr>
          <w:i/>
          <w:color w:val="1F4E79" w:themeColor="accent1" w:themeShade="80"/>
        </w:rPr>
        <w:t xml:space="preserve">Cependant, </w:t>
      </w:r>
      <w:r w:rsidR="00FC2584" w:rsidRPr="0014141C">
        <w:rPr>
          <w:i/>
          <w:color w:val="1F4E79" w:themeColor="accent1" w:themeShade="80"/>
        </w:rPr>
        <w:t>le nouveau système permettra aux remettants de déclarer leur derni</w:t>
      </w:r>
      <w:r w:rsidR="002046A8" w:rsidRPr="0014141C">
        <w:rPr>
          <w:i/>
          <w:color w:val="1F4E79" w:themeColor="accent1" w:themeShade="80"/>
        </w:rPr>
        <w:t>è</w:t>
      </w:r>
      <w:r w:rsidR="00FC2584" w:rsidRPr="0014141C">
        <w:rPr>
          <w:i/>
          <w:color w:val="1F4E79" w:themeColor="accent1" w:themeShade="80"/>
        </w:rPr>
        <w:t xml:space="preserve">re VL disponible sans </w:t>
      </w:r>
      <w:r w:rsidR="00EC19D3" w:rsidRPr="0014141C">
        <w:rPr>
          <w:i/>
          <w:color w:val="1F4E79" w:themeColor="accent1" w:themeShade="80"/>
        </w:rPr>
        <w:t xml:space="preserve">qu’aucune </w:t>
      </w:r>
      <w:r w:rsidR="00FC2584" w:rsidRPr="0014141C">
        <w:rPr>
          <w:i/>
          <w:color w:val="1F4E79" w:themeColor="accent1" w:themeShade="80"/>
        </w:rPr>
        <w:t xml:space="preserve">contrainte </w:t>
      </w:r>
      <w:r w:rsidR="002046A8" w:rsidRPr="0014141C">
        <w:rPr>
          <w:i/>
          <w:color w:val="1F4E79" w:themeColor="accent1" w:themeShade="80"/>
        </w:rPr>
        <w:t xml:space="preserve">de date </w:t>
      </w:r>
      <w:r w:rsidR="00FC2584" w:rsidRPr="0014141C">
        <w:rPr>
          <w:i/>
          <w:color w:val="1F4E79" w:themeColor="accent1" w:themeShade="80"/>
        </w:rPr>
        <w:t>comme aujourd’hui</w:t>
      </w:r>
      <w:r w:rsidR="00EC19D3" w:rsidRPr="0014141C">
        <w:rPr>
          <w:i/>
          <w:color w:val="1F4E79" w:themeColor="accent1" w:themeShade="80"/>
        </w:rPr>
        <w:t xml:space="preserve"> ne soit appliquée</w:t>
      </w:r>
      <w:r w:rsidR="00F775C3" w:rsidRPr="0014141C">
        <w:rPr>
          <w:i/>
          <w:color w:val="1F4E79" w:themeColor="accent1" w:themeShade="80"/>
        </w:rPr>
        <w:t>.</w:t>
      </w:r>
    </w:p>
    <w:p w14:paraId="297CD05B" w14:textId="3D4C0DB0" w:rsidR="00580AE9" w:rsidRPr="007F5325" w:rsidRDefault="00F775C3">
      <w:pPr>
        <w:rPr>
          <w:i/>
          <w:color w:val="1F4E79" w:themeColor="accent1" w:themeShade="80"/>
        </w:rPr>
      </w:pPr>
      <w:r w:rsidRPr="0014141C">
        <w:rPr>
          <w:i/>
          <w:color w:val="1F4E79" w:themeColor="accent1" w:themeShade="80"/>
        </w:rPr>
        <w:lastRenderedPageBreak/>
        <w:t>La possibilité que le système reprenne la derni</w:t>
      </w:r>
      <w:r w:rsidR="00587513" w:rsidRPr="0014141C">
        <w:rPr>
          <w:i/>
          <w:color w:val="1F4E79" w:themeColor="accent1" w:themeShade="80"/>
        </w:rPr>
        <w:t>è</w:t>
      </w:r>
      <w:r w:rsidRPr="0014141C">
        <w:rPr>
          <w:i/>
          <w:color w:val="1F4E79" w:themeColor="accent1" w:themeShade="80"/>
        </w:rPr>
        <w:t xml:space="preserve">re VL disponible </w:t>
      </w:r>
      <w:r w:rsidR="00F55904" w:rsidRPr="0014141C">
        <w:rPr>
          <w:i/>
          <w:color w:val="1F4E79" w:themeColor="accent1" w:themeShade="80"/>
        </w:rPr>
        <w:t>automatiquement</w:t>
      </w:r>
      <w:r w:rsidRPr="0014141C">
        <w:rPr>
          <w:i/>
          <w:color w:val="1F4E79" w:themeColor="accent1" w:themeShade="80"/>
        </w:rPr>
        <w:t xml:space="preserve"> </w:t>
      </w:r>
      <w:r w:rsidR="00F55904" w:rsidRPr="0014141C">
        <w:rPr>
          <w:i/>
          <w:color w:val="1F4E79" w:themeColor="accent1" w:themeShade="80"/>
        </w:rPr>
        <w:t>est à l’étude par la BDF</w:t>
      </w:r>
      <w:r w:rsidR="00AD11E9">
        <w:rPr>
          <w:i/>
          <w:color w:val="1F4E79" w:themeColor="accent1" w:themeShade="80"/>
        </w:rPr>
        <w:t xml:space="preserve"> mais n’est pas la solution privilégiée.</w:t>
      </w:r>
    </w:p>
    <w:p w14:paraId="548C4656" w14:textId="595FBB41" w:rsidR="00AD13C1" w:rsidRPr="00ED5909" w:rsidRDefault="007F5325" w:rsidP="00AD13C1">
      <w:pPr>
        <w:pBdr>
          <w:top w:val="single" w:sz="4" w:space="1" w:color="auto"/>
          <w:left w:val="single" w:sz="4" w:space="4" w:color="auto"/>
          <w:bottom w:val="single" w:sz="4" w:space="1" w:color="auto"/>
          <w:right w:val="single" w:sz="4" w:space="4" w:color="auto"/>
        </w:pBdr>
        <w:rPr>
          <w:b/>
          <w:color w:val="00B050"/>
        </w:rPr>
      </w:pPr>
      <w:r>
        <w:rPr>
          <w:b/>
          <w:color w:val="00B050"/>
        </w:rPr>
        <w:t>R</w:t>
      </w:r>
      <w:r w:rsidR="001B2517" w:rsidRPr="00E954F5">
        <w:rPr>
          <w:b/>
          <w:color w:val="00B050"/>
        </w:rPr>
        <w:t xml:space="preserve">éponse </w:t>
      </w:r>
      <w:r w:rsidRPr="007F5325">
        <w:rPr>
          <w:b/>
          <w:color w:val="00B050"/>
        </w:rPr>
        <w:t>dans la réunion de conclusion des ateliers </w:t>
      </w:r>
      <w:r w:rsidR="001B2517" w:rsidRPr="00E954F5">
        <w:rPr>
          <w:b/>
          <w:color w:val="00B050"/>
        </w:rPr>
        <w:t>:</w:t>
      </w:r>
      <w:r w:rsidR="001B2517">
        <w:rPr>
          <w:b/>
          <w:color w:val="00B050"/>
        </w:rPr>
        <w:t xml:space="preserve"> </w:t>
      </w:r>
      <w:r w:rsidR="00AD13C1" w:rsidRPr="00ED5909">
        <w:rPr>
          <w:b/>
          <w:color w:val="00B050"/>
        </w:rPr>
        <w:t>Le report automatique de la dernière VL ne sera pas possible (contraintes techniques</w:t>
      </w:r>
      <w:r w:rsidR="00F752B5" w:rsidRPr="00ED5909">
        <w:rPr>
          <w:b/>
          <w:color w:val="00B050"/>
        </w:rPr>
        <w:t xml:space="preserve"> notamment</w:t>
      </w:r>
      <w:r w:rsidR="00AD13C1" w:rsidRPr="00ED5909">
        <w:rPr>
          <w:b/>
          <w:color w:val="00B050"/>
        </w:rPr>
        <w:t>). En conséquence une nouvelle déclaration devra être effectuée</w:t>
      </w:r>
      <w:r w:rsidR="005474B8" w:rsidRPr="00ED5909">
        <w:rPr>
          <w:b/>
          <w:color w:val="00B050"/>
        </w:rPr>
        <w:t xml:space="preserve"> même si la VL n’a pas bougé</w:t>
      </w:r>
      <w:r w:rsidR="00AD13C1" w:rsidRPr="00ED5909">
        <w:rPr>
          <w:b/>
          <w:color w:val="00B050"/>
        </w:rPr>
        <w:t>.</w:t>
      </w:r>
    </w:p>
    <w:p w14:paraId="6DA5429B" w14:textId="561CA70A" w:rsidR="009505AC" w:rsidRPr="00ED5909" w:rsidRDefault="00AD13C1" w:rsidP="00AD13C1">
      <w:pPr>
        <w:pBdr>
          <w:top w:val="single" w:sz="4" w:space="1" w:color="auto"/>
          <w:left w:val="single" w:sz="4" w:space="4" w:color="auto"/>
          <w:bottom w:val="single" w:sz="4" w:space="1" w:color="auto"/>
          <w:right w:val="single" w:sz="4" w:space="4" w:color="auto"/>
        </w:pBdr>
        <w:rPr>
          <w:b/>
          <w:color w:val="00B050"/>
        </w:rPr>
      </w:pPr>
      <w:r w:rsidRPr="00ED5909">
        <w:rPr>
          <w:b/>
          <w:color w:val="00B050"/>
        </w:rPr>
        <w:t>Pour les fonds qui ne disposent pas de VL récente, il est confirmé qu’aucune contrainte de date pour la VL déclarée ne sera imposée. Les verrous</w:t>
      </w:r>
      <w:r w:rsidR="00E71B07" w:rsidRPr="00ED5909">
        <w:rPr>
          <w:b/>
          <w:color w:val="00B050"/>
        </w:rPr>
        <w:t xml:space="preserve"> sur les fonds à risques</w:t>
      </w:r>
      <w:r w:rsidRPr="00ED5909">
        <w:rPr>
          <w:b/>
          <w:color w:val="00B050"/>
        </w:rPr>
        <w:t xml:space="preserve"> (M-8</w:t>
      </w:r>
      <w:r w:rsidR="00E71B07" w:rsidRPr="00ED5909">
        <w:rPr>
          <w:b/>
          <w:color w:val="00B050"/>
        </w:rPr>
        <w:t xml:space="preserve"> à </w:t>
      </w:r>
      <w:r w:rsidRPr="00ED5909">
        <w:rPr>
          <w:b/>
          <w:color w:val="00B050"/>
        </w:rPr>
        <w:t xml:space="preserve">M-3) </w:t>
      </w:r>
      <w:r w:rsidR="00E71B07" w:rsidRPr="00ED5909">
        <w:rPr>
          <w:b/>
          <w:color w:val="00B050"/>
        </w:rPr>
        <w:t xml:space="preserve">et fonds immobiliers (M-3) </w:t>
      </w:r>
      <w:r w:rsidRPr="00ED5909">
        <w:rPr>
          <w:b/>
          <w:color w:val="00B050"/>
        </w:rPr>
        <w:t>sont abandonnés.</w:t>
      </w:r>
    </w:p>
    <w:p w14:paraId="3404C8FB" w14:textId="77777777" w:rsidR="00584C41" w:rsidRPr="0014141C" w:rsidRDefault="00584C41" w:rsidP="00FC3F6A">
      <w:pPr>
        <w:pStyle w:val="Paragraphedeliste"/>
        <w:numPr>
          <w:ilvl w:val="0"/>
          <w:numId w:val="9"/>
        </w:numPr>
        <w:ind w:left="426" w:hanging="426"/>
        <w:rPr>
          <w:i/>
          <w:color w:val="ED7D31" w:themeColor="accent2"/>
          <w:sz w:val="24"/>
        </w:rPr>
      </w:pPr>
      <w:r w:rsidRPr="0014141C">
        <w:rPr>
          <w:i/>
          <w:color w:val="ED7D31" w:themeColor="accent2"/>
          <w:sz w:val="24"/>
        </w:rPr>
        <w:t>Relance mensuelle pour fonds à VL semestrielles</w:t>
      </w:r>
    </w:p>
    <w:p w14:paraId="77F91364" w14:textId="269ABDB8" w:rsidR="00C4555E" w:rsidRPr="0014141C" w:rsidRDefault="002046A8" w:rsidP="003C34C2">
      <w:r w:rsidRPr="0014141C">
        <w:t>Des r</w:t>
      </w:r>
      <w:r w:rsidR="00C4555E" w:rsidRPr="0014141C">
        <w:t>elance</w:t>
      </w:r>
      <w:r w:rsidRPr="0014141C">
        <w:t>s</w:t>
      </w:r>
      <w:r w:rsidR="00C4555E" w:rsidRPr="0014141C">
        <w:t xml:space="preserve"> mensuelle</w:t>
      </w:r>
      <w:r w:rsidRPr="0014141C">
        <w:t>s</w:t>
      </w:r>
      <w:r w:rsidR="00C4555E" w:rsidRPr="0014141C">
        <w:t xml:space="preserve"> des attendus de collecte pour </w:t>
      </w:r>
      <w:r w:rsidR="007C6A9A" w:rsidRPr="0014141C">
        <w:t xml:space="preserve">les </w:t>
      </w:r>
      <w:r w:rsidR="00C4555E" w:rsidRPr="0014141C">
        <w:t>fonds professionnels spécialisés (FPS)</w:t>
      </w:r>
      <w:r w:rsidRPr="0014141C">
        <w:t xml:space="preserve"> sont envoyés aux remettants alors que </w:t>
      </w:r>
      <w:r w:rsidR="00587513" w:rsidRPr="0014141C">
        <w:t xml:space="preserve">ces </w:t>
      </w:r>
      <w:r w:rsidRPr="0014141C">
        <w:t>fonds ne doi</w:t>
      </w:r>
      <w:r w:rsidR="00580AE9" w:rsidRPr="0014141C">
        <w:t>ven</w:t>
      </w:r>
      <w:r w:rsidRPr="0014141C">
        <w:t>t pas effectuer de déclaration</w:t>
      </w:r>
      <w:r w:rsidR="00853FA5">
        <w:t>.</w:t>
      </w:r>
    </w:p>
    <w:p w14:paraId="2969D080" w14:textId="3498517D" w:rsidR="009505AC" w:rsidRPr="0014141C" w:rsidRDefault="009505AC" w:rsidP="009505AC">
      <w:pPr>
        <w:rPr>
          <w:i/>
          <w:color w:val="1F4E79" w:themeColor="accent1" w:themeShade="80"/>
        </w:rPr>
      </w:pPr>
      <w:r w:rsidRPr="0014141C">
        <w:rPr>
          <w:b/>
          <w:i/>
          <w:color w:val="1F4E79" w:themeColor="accent1" w:themeShade="80"/>
        </w:rPr>
        <w:t>Réponse BDF :</w:t>
      </w:r>
      <w:r w:rsidR="00580AE9" w:rsidRPr="0014141C">
        <w:rPr>
          <w:i/>
          <w:color w:val="1F4E79" w:themeColor="accent1" w:themeShade="80"/>
        </w:rPr>
        <w:t xml:space="preserve"> </w:t>
      </w:r>
      <w:r w:rsidR="009D6021" w:rsidRPr="0014141C">
        <w:rPr>
          <w:i/>
          <w:color w:val="1F4E79" w:themeColor="accent1" w:themeShade="80"/>
        </w:rPr>
        <w:t xml:space="preserve">Ces relances sont </w:t>
      </w:r>
      <w:r w:rsidR="002046A8" w:rsidRPr="0014141C">
        <w:rPr>
          <w:i/>
          <w:color w:val="1F4E79" w:themeColor="accent1" w:themeShade="80"/>
        </w:rPr>
        <w:t xml:space="preserve">automatiques et </w:t>
      </w:r>
      <w:r w:rsidR="00EC19D3" w:rsidRPr="0014141C">
        <w:rPr>
          <w:i/>
          <w:color w:val="1F4E79" w:themeColor="accent1" w:themeShade="80"/>
        </w:rPr>
        <w:t>sont</w:t>
      </w:r>
      <w:r w:rsidRPr="0014141C">
        <w:rPr>
          <w:i/>
          <w:color w:val="1F4E79" w:themeColor="accent1" w:themeShade="80"/>
        </w:rPr>
        <w:t xml:space="preserve"> </w:t>
      </w:r>
      <w:r w:rsidR="00FC2584" w:rsidRPr="0014141C">
        <w:rPr>
          <w:i/>
          <w:color w:val="1F4E79" w:themeColor="accent1" w:themeShade="80"/>
        </w:rPr>
        <w:t>lié</w:t>
      </w:r>
      <w:r w:rsidR="009D6021" w:rsidRPr="0014141C">
        <w:rPr>
          <w:i/>
          <w:color w:val="1F4E79" w:themeColor="accent1" w:themeShade="80"/>
        </w:rPr>
        <w:t>es</w:t>
      </w:r>
      <w:r w:rsidR="00FC2584" w:rsidRPr="0014141C">
        <w:rPr>
          <w:i/>
          <w:color w:val="1F4E79" w:themeColor="accent1" w:themeShade="80"/>
        </w:rPr>
        <w:t xml:space="preserve"> à l’obsolescence de la chaine </w:t>
      </w:r>
      <w:r w:rsidR="009D6021" w:rsidRPr="0014141C">
        <w:rPr>
          <w:i/>
          <w:color w:val="1F4E79" w:themeColor="accent1" w:themeShade="80"/>
        </w:rPr>
        <w:t>actuelle. L</w:t>
      </w:r>
      <w:r w:rsidR="00FC2584" w:rsidRPr="0014141C">
        <w:rPr>
          <w:i/>
          <w:color w:val="1F4E79" w:themeColor="accent1" w:themeShade="80"/>
        </w:rPr>
        <w:t>a notion de FPS n’éta</w:t>
      </w:r>
      <w:r w:rsidR="009D6021" w:rsidRPr="0014141C">
        <w:rPr>
          <w:i/>
          <w:color w:val="1F4E79" w:themeColor="accent1" w:themeShade="80"/>
        </w:rPr>
        <w:t>it</w:t>
      </w:r>
      <w:r w:rsidR="00FC2584" w:rsidRPr="0014141C">
        <w:rPr>
          <w:i/>
          <w:color w:val="1F4E79" w:themeColor="accent1" w:themeShade="80"/>
        </w:rPr>
        <w:t xml:space="preserve"> pas </w:t>
      </w:r>
      <w:r w:rsidR="000B65A5" w:rsidRPr="0014141C">
        <w:rPr>
          <w:i/>
          <w:color w:val="1F4E79" w:themeColor="accent1" w:themeShade="80"/>
        </w:rPr>
        <w:t>connue il</w:t>
      </w:r>
      <w:r w:rsidR="00FC2584" w:rsidRPr="0014141C">
        <w:rPr>
          <w:i/>
          <w:color w:val="1F4E79" w:themeColor="accent1" w:themeShade="80"/>
        </w:rPr>
        <w:t xml:space="preserve"> y a quelques années</w:t>
      </w:r>
      <w:r w:rsidR="00580AE9" w:rsidRPr="0014141C">
        <w:rPr>
          <w:i/>
          <w:color w:val="1F4E79" w:themeColor="accent1" w:themeShade="80"/>
        </w:rPr>
        <w:t>.</w:t>
      </w:r>
      <w:r w:rsidR="00FC2584" w:rsidRPr="0014141C">
        <w:rPr>
          <w:i/>
          <w:color w:val="1F4E79" w:themeColor="accent1" w:themeShade="80"/>
        </w:rPr>
        <w:t xml:space="preserve"> </w:t>
      </w:r>
      <w:r w:rsidR="00EC19D3" w:rsidRPr="0014141C">
        <w:rPr>
          <w:i/>
          <w:color w:val="1F4E79" w:themeColor="accent1" w:themeShade="80"/>
        </w:rPr>
        <w:t>Avec OPC2</w:t>
      </w:r>
      <w:r w:rsidR="000B65A5" w:rsidRPr="0014141C">
        <w:rPr>
          <w:i/>
          <w:color w:val="1F4E79" w:themeColor="accent1" w:themeShade="80"/>
        </w:rPr>
        <w:t>,</w:t>
      </w:r>
      <w:r w:rsidR="00EC19D3" w:rsidRPr="0014141C">
        <w:rPr>
          <w:i/>
          <w:color w:val="1F4E79" w:themeColor="accent1" w:themeShade="80"/>
        </w:rPr>
        <w:t xml:space="preserve"> </w:t>
      </w:r>
      <w:r w:rsidR="00FC2584" w:rsidRPr="0014141C">
        <w:rPr>
          <w:i/>
          <w:color w:val="1F4E79" w:themeColor="accent1" w:themeShade="80"/>
        </w:rPr>
        <w:t xml:space="preserve">les </w:t>
      </w:r>
      <w:r w:rsidR="000B65A5" w:rsidRPr="0014141C">
        <w:rPr>
          <w:i/>
          <w:color w:val="1F4E79" w:themeColor="accent1" w:themeShade="80"/>
        </w:rPr>
        <w:t>f</w:t>
      </w:r>
      <w:r w:rsidR="00FC2584" w:rsidRPr="0014141C">
        <w:rPr>
          <w:i/>
          <w:color w:val="1F4E79" w:themeColor="accent1" w:themeShade="80"/>
        </w:rPr>
        <w:t xml:space="preserve">onds à valorisation trimestrielle </w:t>
      </w:r>
      <w:r w:rsidR="00580AE9" w:rsidRPr="0014141C">
        <w:rPr>
          <w:i/>
          <w:color w:val="1F4E79" w:themeColor="accent1" w:themeShade="80"/>
        </w:rPr>
        <w:t xml:space="preserve">ou semestrielle </w:t>
      </w:r>
      <w:r w:rsidR="00FC2584" w:rsidRPr="0014141C">
        <w:rPr>
          <w:i/>
          <w:color w:val="1F4E79" w:themeColor="accent1" w:themeShade="80"/>
        </w:rPr>
        <w:t>seront attendu</w:t>
      </w:r>
      <w:r w:rsidR="00EC19D3" w:rsidRPr="0014141C">
        <w:rPr>
          <w:i/>
          <w:color w:val="1F4E79" w:themeColor="accent1" w:themeShade="80"/>
        </w:rPr>
        <w:t>s</w:t>
      </w:r>
      <w:r w:rsidR="00FC2584" w:rsidRPr="0014141C">
        <w:rPr>
          <w:i/>
          <w:color w:val="1F4E79" w:themeColor="accent1" w:themeShade="80"/>
        </w:rPr>
        <w:t xml:space="preserve"> et relancés </w:t>
      </w:r>
      <w:r w:rsidR="000B65A5" w:rsidRPr="0014141C">
        <w:rPr>
          <w:i/>
          <w:color w:val="1F4E79" w:themeColor="accent1" w:themeShade="80"/>
        </w:rPr>
        <w:t>trimestriellement. L</w:t>
      </w:r>
      <w:r w:rsidR="00580AE9" w:rsidRPr="0014141C">
        <w:rPr>
          <w:i/>
          <w:color w:val="1F4E79" w:themeColor="accent1" w:themeShade="80"/>
        </w:rPr>
        <w:t xml:space="preserve">a dérogation </w:t>
      </w:r>
      <w:r w:rsidR="00C22186" w:rsidRPr="0014141C">
        <w:rPr>
          <w:i/>
          <w:color w:val="1F4E79" w:themeColor="accent1" w:themeShade="80"/>
        </w:rPr>
        <w:t xml:space="preserve">de déclaration semestrielle </w:t>
      </w:r>
      <w:r w:rsidR="00580AE9" w:rsidRPr="0014141C">
        <w:rPr>
          <w:i/>
          <w:color w:val="1F4E79" w:themeColor="accent1" w:themeShade="80"/>
        </w:rPr>
        <w:t xml:space="preserve">qui </w:t>
      </w:r>
      <w:r w:rsidR="000B65A5" w:rsidRPr="0014141C">
        <w:rPr>
          <w:i/>
          <w:color w:val="1F4E79" w:themeColor="accent1" w:themeShade="80"/>
        </w:rPr>
        <w:t>est</w:t>
      </w:r>
      <w:r w:rsidR="00580AE9" w:rsidRPr="0014141C">
        <w:rPr>
          <w:i/>
          <w:color w:val="1F4E79" w:themeColor="accent1" w:themeShade="80"/>
        </w:rPr>
        <w:t xml:space="preserve"> maintenue pour les fonds à risques</w:t>
      </w:r>
      <w:r w:rsidR="000B65A5" w:rsidRPr="0014141C">
        <w:rPr>
          <w:i/>
          <w:color w:val="1F4E79" w:themeColor="accent1" w:themeShade="80"/>
        </w:rPr>
        <w:t xml:space="preserve"> dans l’applicatif actuel</w:t>
      </w:r>
      <w:r w:rsidR="00580AE9" w:rsidRPr="0014141C">
        <w:rPr>
          <w:i/>
          <w:color w:val="1F4E79" w:themeColor="accent1" w:themeShade="80"/>
        </w:rPr>
        <w:t xml:space="preserve"> n’existe plus </w:t>
      </w:r>
      <w:r w:rsidR="000B65A5" w:rsidRPr="0014141C">
        <w:rPr>
          <w:i/>
          <w:color w:val="1F4E79" w:themeColor="accent1" w:themeShade="80"/>
        </w:rPr>
        <w:t xml:space="preserve">dans les textes </w:t>
      </w:r>
      <w:r w:rsidR="00580AE9" w:rsidRPr="0014141C">
        <w:rPr>
          <w:i/>
          <w:color w:val="1F4E79" w:themeColor="accent1" w:themeShade="80"/>
        </w:rPr>
        <w:t xml:space="preserve">depuis 2017 et sera </w:t>
      </w:r>
      <w:r w:rsidR="00587513" w:rsidRPr="0014141C">
        <w:rPr>
          <w:i/>
          <w:color w:val="1F4E79" w:themeColor="accent1" w:themeShade="80"/>
        </w:rPr>
        <w:t xml:space="preserve">abandonnée </w:t>
      </w:r>
      <w:r w:rsidR="00580AE9" w:rsidRPr="0014141C">
        <w:rPr>
          <w:i/>
          <w:color w:val="1F4E79" w:themeColor="accent1" w:themeShade="80"/>
        </w:rPr>
        <w:t xml:space="preserve">dans </w:t>
      </w:r>
      <w:r w:rsidR="00C22186" w:rsidRPr="0014141C">
        <w:rPr>
          <w:i/>
          <w:color w:val="1F4E79" w:themeColor="accent1" w:themeShade="80"/>
        </w:rPr>
        <w:t>OPC2</w:t>
      </w:r>
      <w:r w:rsidR="00B13913" w:rsidRPr="0014141C">
        <w:rPr>
          <w:i/>
          <w:color w:val="1F4E79" w:themeColor="accent1" w:themeShade="80"/>
        </w:rPr>
        <w:t>.</w:t>
      </w:r>
    </w:p>
    <w:p w14:paraId="5B708B00" w14:textId="77777777" w:rsidR="00C4555E" w:rsidRPr="0014141C" w:rsidRDefault="00C4555E" w:rsidP="00C4555E">
      <w:pPr>
        <w:pStyle w:val="Paragraphedeliste"/>
        <w:ind w:left="426"/>
        <w:rPr>
          <w:i/>
          <w:color w:val="2F5496" w:themeColor="accent5" w:themeShade="BF"/>
          <w:sz w:val="24"/>
        </w:rPr>
      </w:pPr>
    </w:p>
    <w:p w14:paraId="61A6A6E6" w14:textId="0FD6CE25" w:rsidR="00584C41" w:rsidRPr="0014141C" w:rsidRDefault="00584C41" w:rsidP="00FC3F6A">
      <w:pPr>
        <w:pStyle w:val="Paragraphedeliste"/>
        <w:numPr>
          <w:ilvl w:val="0"/>
          <w:numId w:val="9"/>
        </w:numPr>
        <w:ind w:left="426" w:hanging="426"/>
        <w:rPr>
          <w:i/>
          <w:color w:val="ED7D31" w:themeColor="accent2"/>
          <w:sz w:val="24"/>
        </w:rPr>
      </w:pPr>
      <w:r w:rsidRPr="0014141C">
        <w:rPr>
          <w:i/>
          <w:color w:val="ED7D31" w:themeColor="accent2"/>
          <w:sz w:val="24"/>
        </w:rPr>
        <w:t xml:space="preserve">Déclaration en attente </w:t>
      </w:r>
      <w:r w:rsidR="00A52053" w:rsidRPr="0014141C">
        <w:rPr>
          <w:i/>
          <w:color w:val="ED7D31" w:themeColor="accent2"/>
          <w:sz w:val="24"/>
        </w:rPr>
        <w:t>pour les</w:t>
      </w:r>
      <w:r w:rsidRPr="0014141C">
        <w:rPr>
          <w:i/>
          <w:color w:val="ED7D31" w:themeColor="accent2"/>
          <w:sz w:val="24"/>
        </w:rPr>
        <w:t xml:space="preserve"> titres non référencés BDF</w:t>
      </w:r>
    </w:p>
    <w:p w14:paraId="07916A4D" w14:textId="6E4EDB7F" w:rsidR="00FC3F6A" w:rsidRPr="0014141C" w:rsidRDefault="00A52053" w:rsidP="003C34C2">
      <w:r w:rsidRPr="0014141C">
        <w:t>Si</w:t>
      </w:r>
      <w:r w:rsidR="009D51E9" w:rsidRPr="0014141C">
        <w:t xml:space="preserve"> un titre isiné </w:t>
      </w:r>
      <w:r w:rsidRPr="0014141C">
        <w:t xml:space="preserve">déclaré </w:t>
      </w:r>
      <w:r w:rsidR="009D51E9" w:rsidRPr="0014141C">
        <w:t>est inconnu de la base d’état civil titre de la BDF (titre nouveau par exemple), la déclaration est en attente avec la mention « titre non référencé » (TNR), le temps que certaines informations soient ajouté</w:t>
      </w:r>
      <w:r w:rsidR="00853FA5">
        <w:t>e</w:t>
      </w:r>
      <w:r w:rsidR="009D51E9" w:rsidRPr="0014141C">
        <w:t xml:space="preserve">s </w:t>
      </w:r>
      <w:r w:rsidRPr="0014141C">
        <w:t xml:space="preserve">manuellement </w:t>
      </w:r>
      <w:r w:rsidR="009D51E9" w:rsidRPr="0014141C">
        <w:t>par la BDF (devise/secteur/nature etc.)</w:t>
      </w:r>
      <w:r w:rsidR="00C22186" w:rsidRPr="0014141C">
        <w:t> :</w:t>
      </w:r>
      <w:r w:rsidR="00735AE8" w:rsidRPr="0014141C">
        <w:t> </w:t>
      </w:r>
      <w:r w:rsidR="00C22186" w:rsidRPr="0014141C">
        <w:t>le nouveau dispositif permettra-t-il de changer ce mécanisme</w:t>
      </w:r>
      <w:r w:rsidR="00735AE8" w:rsidRPr="0014141C">
        <w:t>?</w:t>
      </w:r>
    </w:p>
    <w:p w14:paraId="70A7C3A4" w14:textId="6C6AF53A" w:rsidR="009505AC" w:rsidRPr="0014141C" w:rsidRDefault="009505AC" w:rsidP="009505AC">
      <w:pPr>
        <w:rPr>
          <w:i/>
          <w:color w:val="1F4E79" w:themeColor="accent1" w:themeShade="80"/>
        </w:rPr>
      </w:pPr>
      <w:r w:rsidRPr="0014141C">
        <w:rPr>
          <w:b/>
          <w:i/>
          <w:color w:val="1F4E79" w:themeColor="accent1" w:themeShade="80"/>
        </w:rPr>
        <w:t xml:space="preserve">Réponse BDF : </w:t>
      </w:r>
      <w:r w:rsidR="00735AE8" w:rsidRPr="0014141C">
        <w:rPr>
          <w:b/>
          <w:i/>
          <w:color w:val="1F4E79" w:themeColor="accent1" w:themeShade="80"/>
        </w:rPr>
        <w:t xml:space="preserve"> </w:t>
      </w:r>
      <w:r w:rsidR="00B13913" w:rsidRPr="0014141C">
        <w:rPr>
          <w:i/>
          <w:color w:val="1F4E79" w:themeColor="accent1" w:themeShade="80"/>
        </w:rPr>
        <w:t xml:space="preserve">OPC2 </w:t>
      </w:r>
      <w:r w:rsidR="00C22186" w:rsidRPr="0014141C">
        <w:rPr>
          <w:i/>
          <w:color w:val="1F4E79" w:themeColor="accent1" w:themeShade="80"/>
        </w:rPr>
        <w:t>bénéficiera</w:t>
      </w:r>
      <w:r w:rsidR="00B13913" w:rsidRPr="0014141C">
        <w:rPr>
          <w:i/>
          <w:color w:val="1F4E79" w:themeColor="accent1" w:themeShade="80"/>
        </w:rPr>
        <w:t xml:space="preserve"> d’un rafraîchissement plus fréquent de sa base d’état civil de titre</w:t>
      </w:r>
      <w:r w:rsidR="00C22186" w:rsidRPr="0014141C">
        <w:rPr>
          <w:i/>
          <w:color w:val="1F4E79" w:themeColor="accent1" w:themeShade="80"/>
        </w:rPr>
        <w:t>,</w:t>
      </w:r>
      <w:r w:rsidR="00B13913" w:rsidRPr="0014141C">
        <w:rPr>
          <w:i/>
          <w:color w:val="1F4E79" w:themeColor="accent1" w:themeShade="80"/>
        </w:rPr>
        <w:t xml:space="preserve"> et le cas échéa</w:t>
      </w:r>
      <w:r w:rsidR="009D51E9" w:rsidRPr="0014141C">
        <w:rPr>
          <w:i/>
          <w:color w:val="1F4E79" w:themeColor="accent1" w:themeShade="80"/>
        </w:rPr>
        <w:t>n</w:t>
      </w:r>
      <w:r w:rsidR="00B13913" w:rsidRPr="0014141C">
        <w:rPr>
          <w:i/>
          <w:color w:val="1F4E79" w:themeColor="accent1" w:themeShade="80"/>
        </w:rPr>
        <w:t>t un système d</w:t>
      </w:r>
      <w:r w:rsidR="005B188E" w:rsidRPr="0014141C">
        <w:rPr>
          <w:i/>
          <w:color w:val="1F4E79" w:themeColor="accent1" w:themeShade="80"/>
        </w:rPr>
        <w:t>’alimentation</w:t>
      </w:r>
      <w:r w:rsidR="00B13913" w:rsidRPr="0014141C">
        <w:rPr>
          <w:i/>
          <w:color w:val="1F4E79" w:themeColor="accent1" w:themeShade="80"/>
        </w:rPr>
        <w:t xml:space="preserve"> provisoire de ces titre</w:t>
      </w:r>
      <w:r w:rsidR="00CC0E39" w:rsidRPr="0014141C">
        <w:rPr>
          <w:i/>
          <w:color w:val="1F4E79" w:themeColor="accent1" w:themeShade="80"/>
        </w:rPr>
        <w:t>s non référencés</w:t>
      </w:r>
      <w:r w:rsidR="005B188E" w:rsidRPr="0014141C">
        <w:rPr>
          <w:i/>
          <w:color w:val="1F4E79" w:themeColor="accent1" w:themeShade="80"/>
        </w:rPr>
        <w:t xml:space="preserve"> </w:t>
      </w:r>
      <w:r w:rsidR="006A462C" w:rsidRPr="0014141C">
        <w:rPr>
          <w:i/>
          <w:color w:val="1F4E79" w:themeColor="accent1" w:themeShade="80"/>
        </w:rPr>
        <w:t>sera</w:t>
      </w:r>
      <w:r w:rsidR="005B188E" w:rsidRPr="0014141C">
        <w:rPr>
          <w:i/>
          <w:color w:val="1F4E79" w:themeColor="accent1" w:themeShade="80"/>
        </w:rPr>
        <w:t xml:space="preserve"> mis en place</w:t>
      </w:r>
      <w:r w:rsidR="00CC0E39" w:rsidRPr="0014141C">
        <w:rPr>
          <w:i/>
          <w:color w:val="1F4E79" w:themeColor="accent1" w:themeShade="80"/>
        </w:rPr>
        <w:t>.</w:t>
      </w:r>
    </w:p>
    <w:p w14:paraId="2C75B39D" w14:textId="77777777" w:rsidR="00584C41" w:rsidRPr="0014141C" w:rsidRDefault="00584C41" w:rsidP="00DC089D">
      <w:pPr>
        <w:rPr>
          <w:i/>
          <w:color w:val="2F5496" w:themeColor="accent5" w:themeShade="BF"/>
        </w:rPr>
      </w:pPr>
    </w:p>
    <w:p w14:paraId="5715EF31" w14:textId="00F9572C" w:rsidR="000A523A" w:rsidRDefault="000A523A" w:rsidP="000A523A">
      <w:pPr>
        <w:pStyle w:val="Paragraphedeliste"/>
        <w:rPr>
          <w:i/>
          <w:color w:val="2F5496" w:themeColor="accent5" w:themeShade="BF"/>
          <w:sz w:val="20"/>
        </w:rPr>
      </w:pPr>
    </w:p>
    <w:p w14:paraId="7891EB2D" w14:textId="77777777" w:rsidR="004E7FED" w:rsidRPr="000A523A" w:rsidRDefault="004E7FED" w:rsidP="000A523A">
      <w:pPr>
        <w:pStyle w:val="Paragraphedeliste"/>
        <w:rPr>
          <w:i/>
          <w:color w:val="2F5496" w:themeColor="accent5" w:themeShade="BF"/>
          <w:sz w:val="20"/>
        </w:rPr>
      </w:pPr>
    </w:p>
    <w:p w14:paraId="7F861C04" w14:textId="515BD446" w:rsidR="000A523A" w:rsidRPr="003C34C2" w:rsidRDefault="000A523A" w:rsidP="000A523A">
      <w:pPr>
        <w:pStyle w:val="Paragraphedeliste"/>
        <w:numPr>
          <w:ilvl w:val="0"/>
          <w:numId w:val="7"/>
        </w:numPr>
        <w:rPr>
          <w:i/>
          <w:sz w:val="28"/>
        </w:rPr>
      </w:pPr>
      <w:r w:rsidRPr="003C34C2">
        <w:rPr>
          <w:i/>
          <w:sz w:val="28"/>
        </w:rPr>
        <w:t>Problèmes lié</w:t>
      </w:r>
      <w:r w:rsidR="00E6208D">
        <w:rPr>
          <w:i/>
          <w:sz w:val="28"/>
        </w:rPr>
        <w:t>s</w:t>
      </w:r>
      <w:r w:rsidRPr="003C34C2">
        <w:rPr>
          <w:i/>
          <w:sz w:val="28"/>
        </w:rPr>
        <w:t xml:space="preserve"> à l’état civil des fonds</w:t>
      </w:r>
    </w:p>
    <w:p w14:paraId="56EDB0E6" w14:textId="77777777" w:rsidR="00C4555E" w:rsidRDefault="00C4555E" w:rsidP="00C4555E">
      <w:pPr>
        <w:pStyle w:val="Paragraphedeliste"/>
        <w:rPr>
          <w:i/>
          <w:color w:val="2F5496" w:themeColor="accent5" w:themeShade="BF"/>
          <w:sz w:val="20"/>
        </w:rPr>
      </w:pPr>
    </w:p>
    <w:p w14:paraId="77A853AC" w14:textId="1F349028" w:rsidR="000A523A" w:rsidRPr="0014141C" w:rsidRDefault="00C4555E" w:rsidP="00C4555E">
      <w:r w:rsidRPr="0014141C">
        <w:t>Le flux</w:t>
      </w:r>
      <w:r w:rsidR="00CC0E39" w:rsidRPr="0014141C">
        <w:t xml:space="preserve"> AMF</w:t>
      </w:r>
      <w:r w:rsidRPr="0014141C">
        <w:t xml:space="preserve"> </w:t>
      </w:r>
      <w:r w:rsidR="00CC0E39" w:rsidRPr="0014141C">
        <w:t>d’état civil des fonds a peu</w:t>
      </w:r>
      <w:r w:rsidRPr="0014141C">
        <w:t xml:space="preserve"> évolué depuis sa mise en place (environnement BIO1 de l’AMF) mis à part des informations complémentaire</w:t>
      </w:r>
      <w:r w:rsidR="005B188E" w:rsidRPr="0014141C">
        <w:t>s</w:t>
      </w:r>
      <w:r w:rsidRPr="0014141C">
        <w:t xml:space="preserve"> lié</w:t>
      </w:r>
      <w:r w:rsidR="005B188E" w:rsidRPr="0014141C">
        <w:t>es</w:t>
      </w:r>
      <w:r w:rsidRPr="0014141C">
        <w:t xml:space="preserve"> aux fonds UCITS/FIA en 2015.</w:t>
      </w:r>
    </w:p>
    <w:p w14:paraId="0F9EF1D0" w14:textId="6D00A047" w:rsidR="00C4555E" w:rsidRPr="0014141C" w:rsidRDefault="00C4555E" w:rsidP="00C4555E">
      <w:r w:rsidRPr="0014141C">
        <w:t>Principa</w:t>
      </w:r>
      <w:r w:rsidR="00587513" w:rsidRPr="0014141C">
        <w:t>ux</w:t>
      </w:r>
      <w:r w:rsidRPr="0014141C">
        <w:t xml:space="preserve"> problèmes rencontrés par les remettants :</w:t>
      </w:r>
    </w:p>
    <w:p w14:paraId="419067FE" w14:textId="77777777" w:rsidR="006A462C" w:rsidRPr="0014141C" w:rsidRDefault="006A462C" w:rsidP="00C4555E">
      <w:pPr>
        <w:pStyle w:val="Paragraphedeliste"/>
        <w:numPr>
          <w:ilvl w:val="0"/>
          <w:numId w:val="9"/>
        </w:numPr>
        <w:ind w:left="426" w:hanging="426"/>
        <w:rPr>
          <w:i/>
          <w:color w:val="ED7D31" w:themeColor="accent2"/>
          <w:sz w:val="24"/>
        </w:rPr>
      </w:pPr>
      <w:r w:rsidRPr="0014141C">
        <w:rPr>
          <w:i/>
          <w:color w:val="ED7D31" w:themeColor="accent2"/>
          <w:sz w:val="24"/>
        </w:rPr>
        <w:t>Début de vie d’un fonds</w:t>
      </w:r>
    </w:p>
    <w:p w14:paraId="5FAF63A5" w14:textId="5EF19D8E" w:rsidR="00C4555E" w:rsidRPr="0014141C" w:rsidRDefault="006A462C" w:rsidP="006A462C">
      <w:pPr>
        <w:rPr>
          <w:i/>
        </w:rPr>
      </w:pPr>
      <w:r w:rsidRPr="0014141C">
        <w:rPr>
          <w:i/>
        </w:rPr>
        <w:t>Un fond</w:t>
      </w:r>
      <w:r w:rsidR="009D51E9" w:rsidRPr="0014141C">
        <w:rPr>
          <w:i/>
        </w:rPr>
        <w:t xml:space="preserve"> est </w:t>
      </w:r>
      <w:r w:rsidR="00C4555E" w:rsidRPr="0014141C">
        <w:rPr>
          <w:i/>
        </w:rPr>
        <w:t>créé</w:t>
      </w:r>
      <w:r w:rsidR="009D51E9" w:rsidRPr="0014141C">
        <w:rPr>
          <w:i/>
        </w:rPr>
        <w:t>, commence à collecter et investir,</w:t>
      </w:r>
      <w:r w:rsidR="00C4555E" w:rsidRPr="0014141C">
        <w:rPr>
          <w:i/>
        </w:rPr>
        <w:t xml:space="preserve"> </w:t>
      </w:r>
      <w:r w:rsidR="009D51E9" w:rsidRPr="0014141C">
        <w:rPr>
          <w:i/>
        </w:rPr>
        <w:t xml:space="preserve">mais certains </w:t>
      </w:r>
      <w:r w:rsidR="00F775C3" w:rsidRPr="0014141C">
        <w:rPr>
          <w:i/>
        </w:rPr>
        <w:t>détails</w:t>
      </w:r>
      <w:r w:rsidR="009D51E9" w:rsidRPr="0014141C">
        <w:rPr>
          <w:i/>
        </w:rPr>
        <w:t xml:space="preserve"> </w:t>
      </w:r>
      <w:r w:rsidR="00F775C3" w:rsidRPr="0014141C">
        <w:rPr>
          <w:i/>
        </w:rPr>
        <w:t>administratif</w:t>
      </w:r>
      <w:r w:rsidR="00584C41" w:rsidRPr="0014141C">
        <w:rPr>
          <w:i/>
        </w:rPr>
        <w:t>s</w:t>
      </w:r>
      <w:r w:rsidR="009D51E9" w:rsidRPr="0014141C">
        <w:rPr>
          <w:i/>
        </w:rPr>
        <w:t xml:space="preserve"> retarde</w:t>
      </w:r>
      <w:r w:rsidR="00584C41" w:rsidRPr="0014141C">
        <w:rPr>
          <w:i/>
        </w:rPr>
        <w:t>nt</w:t>
      </w:r>
      <w:r w:rsidR="009D51E9" w:rsidRPr="0014141C">
        <w:rPr>
          <w:i/>
        </w:rPr>
        <w:t xml:space="preserve"> sa création dans le flux d’état civil</w:t>
      </w:r>
      <w:r w:rsidR="00F775C3" w:rsidRPr="0014141C">
        <w:rPr>
          <w:i/>
        </w:rPr>
        <w:t xml:space="preserve"> qui </w:t>
      </w:r>
      <w:r w:rsidRPr="0014141C">
        <w:rPr>
          <w:i/>
        </w:rPr>
        <w:t>est envoyé</w:t>
      </w:r>
      <w:r w:rsidR="00F775C3" w:rsidRPr="0014141C">
        <w:rPr>
          <w:i/>
        </w:rPr>
        <w:t xml:space="preserve"> par l’</w:t>
      </w:r>
      <w:r w:rsidR="009D51E9" w:rsidRPr="0014141C">
        <w:rPr>
          <w:i/>
        </w:rPr>
        <w:t>AMF</w:t>
      </w:r>
    </w:p>
    <w:p w14:paraId="668E9BCA" w14:textId="3AE2EA3F" w:rsidR="00AB5B66" w:rsidRPr="007F5325" w:rsidRDefault="00AB5B66" w:rsidP="00AB5B66">
      <w:pPr>
        <w:rPr>
          <w:i/>
          <w:color w:val="1F4E79" w:themeColor="accent1" w:themeShade="80"/>
        </w:rPr>
      </w:pPr>
      <w:r w:rsidRPr="0014141C">
        <w:rPr>
          <w:b/>
          <w:i/>
          <w:color w:val="1F4E79" w:themeColor="accent1" w:themeShade="80"/>
        </w:rPr>
        <w:t>Réponse BDF :</w:t>
      </w:r>
      <w:r w:rsidRPr="0014141C">
        <w:rPr>
          <w:i/>
          <w:color w:val="1F4E79" w:themeColor="accent1" w:themeShade="80"/>
        </w:rPr>
        <w:t xml:space="preserve"> voir avec AMF mais p</w:t>
      </w:r>
      <w:r w:rsidR="00A52053" w:rsidRPr="0014141C">
        <w:rPr>
          <w:i/>
          <w:color w:val="1F4E79" w:themeColor="accent1" w:themeShade="80"/>
        </w:rPr>
        <w:t>robablement</w:t>
      </w:r>
      <w:r w:rsidRPr="0014141C">
        <w:rPr>
          <w:i/>
          <w:color w:val="1F4E79" w:themeColor="accent1" w:themeShade="80"/>
        </w:rPr>
        <w:t xml:space="preserve"> pas de modification de ces cas avant le nouveau flux BIO3</w:t>
      </w:r>
      <w:r w:rsidR="007F5325" w:rsidRPr="007F5325">
        <w:rPr>
          <w:i/>
          <w:color w:val="1F4E79" w:themeColor="accent1" w:themeShade="80"/>
        </w:rPr>
        <w:t>.</w:t>
      </w:r>
    </w:p>
    <w:p w14:paraId="7A6B4448" w14:textId="2392F0C2" w:rsidR="00AD13C1" w:rsidRPr="00ED5909" w:rsidRDefault="007F5325" w:rsidP="00AD13C1">
      <w:pPr>
        <w:pBdr>
          <w:top w:val="single" w:sz="4" w:space="1" w:color="auto"/>
          <w:left w:val="single" w:sz="4" w:space="4" w:color="auto"/>
          <w:bottom w:val="single" w:sz="4" w:space="1" w:color="auto"/>
          <w:right w:val="single" w:sz="4" w:space="4" w:color="auto"/>
        </w:pBdr>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9730D4">
        <w:rPr>
          <w:b/>
          <w:color w:val="00B050"/>
        </w:rPr>
        <w:t>L</w:t>
      </w:r>
      <w:r w:rsidR="00AF11C2" w:rsidRPr="00ED5909">
        <w:rPr>
          <w:b/>
          <w:color w:val="00B050"/>
        </w:rPr>
        <w:t xml:space="preserve">e </w:t>
      </w:r>
      <w:r w:rsidR="00527CA7" w:rsidRPr="00ED5909">
        <w:rPr>
          <w:b/>
          <w:color w:val="00B050"/>
        </w:rPr>
        <w:t>problème</w:t>
      </w:r>
      <w:r w:rsidR="00AF11C2" w:rsidRPr="00ED5909">
        <w:rPr>
          <w:b/>
          <w:color w:val="00B050"/>
        </w:rPr>
        <w:t xml:space="preserve"> a été soumis à</w:t>
      </w:r>
      <w:r w:rsidR="00AD13C1" w:rsidRPr="00ED5909">
        <w:rPr>
          <w:b/>
          <w:color w:val="00B050"/>
        </w:rPr>
        <w:t xml:space="preserve"> l’AMF mais il est peu probable que les états civils des fonds </w:t>
      </w:r>
      <w:r w:rsidR="00970AF0" w:rsidRPr="00ED5909">
        <w:rPr>
          <w:b/>
          <w:color w:val="00B050"/>
        </w:rPr>
        <w:t>puissent être</w:t>
      </w:r>
      <w:r w:rsidR="00AD13C1" w:rsidRPr="00ED5909">
        <w:rPr>
          <w:b/>
          <w:color w:val="00B050"/>
        </w:rPr>
        <w:t xml:space="preserve"> </w:t>
      </w:r>
      <w:r w:rsidR="00AF11C2" w:rsidRPr="00ED5909">
        <w:rPr>
          <w:b/>
          <w:color w:val="00B050"/>
        </w:rPr>
        <w:t>actif</w:t>
      </w:r>
      <w:r w:rsidR="00AD13C1" w:rsidRPr="00ED5909">
        <w:rPr>
          <w:b/>
          <w:color w:val="00B050"/>
        </w:rPr>
        <w:t xml:space="preserve"> </w:t>
      </w:r>
      <w:r w:rsidR="006E202E" w:rsidRPr="00ED5909">
        <w:rPr>
          <w:b/>
          <w:color w:val="00B050"/>
        </w:rPr>
        <w:t>dans BIO2</w:t>
      </w:r>
      <w:r w:rsidR="006E202E">
        <w:rPr>
          <w:b/>
          <w:color w:val="00B050"/>
        </w:rPr>
        <w:t xml:space="preserve"> </w:t>
      </w:r>
      <w:r w:rsidR="00AD13C1" w:rsidRPr="00ED5909">
        <w:rPr>
          <w:b/>
          <w:color w:val="00B050"/>
        </w:rPr>
        <w:t>avant la validation administrative définitive.</w:t>
      </w:r>
      <w:r w:rsidR="00AF11C2" w:rsidRPr="00ED5909">
        <w:rPr>
          <w:b/>
          <w:color w:val="00B050"/>
        </w:rPr>
        <w:t xml:space="preserve"> À voir dans le futur environnement BIO3 (2021-2022) si le problème persiste. </w:t>
      </w:r>
    </w:p>
    <w:p w14:paraId="07FB6EFA" w14:textId="77777777" w:rsidR="00AB5B66" w:rsidRPr="0014141C" w:rsidRDefault="00AB5B66" w:rsidP="00AB5B66">
      <w:pPr>
        <w:rPr>
          <w:i/>
          <w:color w:val="2F5496" w:themeColor="accent5" w:themeShade="BF"/>
          <w:sz w:val="24"/>
          <w:szCs w:val="24"/>
        </w:rPr>
      </w:pPr>
    </w:p>
    <w:p w14:paraId="53DD1116" w14:textId="776898AF" w:rsidR="00C4555E" w:rsidRPr="0014141C" w:rsidRDefault="006A462C" w:rsidP="00C4555E">
      <w:pPr>
        <w:pStyle w:val="Paragraphedeliste"/>
        <w:numPr>
          <w:ilvl w:val="0"/>
          <w:numId w:val="9"/>
        </w:numPr>
        <w:ind w:left="426" w:hanging="426"/>
        <w:rPr>
          <w:i/>
          <w:color w:val="ED7D31" w:themeColor="accent2"/>
          <w:sz w:val="24"/>
          <w:szCs w:val="24"/>
        </w:rPr>
      </w:pPr>
      <w:r w:rsidRPr="0014141C">
        <w:rPr>
          <w:i/>
          <w:color w:val="ED7D31" w:themeColor="accent2"/>
          <w:sz w:val="24"/>
          <w:szCs w:val="24"/>
        </w:rPr>
        <w:t>Changement de code ISIN de la part principale d’un fonds</w:t>
      </w:r>
    </w:p>
    <w:p w14:paraId="20937FDF" w14:textId="071AAD4F" w:rsidR="00E35E00" w:rsidRPr="0014141C" w:rsidRDefault="00A52053" w:rsidP="003C34C2">
      <w:r w:rsidRPr="0014141C">
        <w:t>L</w:t>
      </w:r>
      <w:r w:rsidR="00E35E00" w:rsidRPr="0014141C">
        <w:t xml:space="preserve">a gestion et l’identification des fonds à la BDF </w:t>
      </w:r>
      <w:r w:rsidRPr="0014141C">
        <w:t xml:space="preserve">sont </w:t>
      </w:r>
      <w:r w:rsidR="00E35E00" w:rsidRPr="0014141C">
        <w:t>effectuée</w:t>
      </w:r>
      <w:r w:rsidRPr="0014141C">
        <w:t>s</w:t>
      </w:r>
      <w:r w:rsidR="00E35E00" w:rsidRPr="0014141C">
        <w:t xml:space="preserve"> sur la base du code ISIN de la part principale (ISIN du produit du fonds). La nécessité d’historique sur les fonds (séries chronologiques envoyées à la BCE) entraine des difficultés de gestion lors des changements d’état civil (changement part principal/ajout part secondaire/scission/fusion), notamment lorsque les informations arrivent avec du retard dans le flux AMF.</w:t>
      </w:r>
    </w:p>
    <w:p w14:paraId="12290CBF" w14:textId="69192651" w:rsidR="00DC089D" w:rsidRPr="0014141C" w:rsidRDefault="00DC089D" w:rsidP="00DC089D">
      <w:pPr>
        <w:rPr>
          <w:i/>
          <w:color w:val="1F4E79" w:themeColor="accent1" w:themeShade="80"/>
        </w:rPr>
      </w:pPr>
      <w:r w:rsidRPr="0014141C">
        <w:rPr>
          <w:b/>
          <w:i/>
          <w:color w:val="1F4E79" w:themeColor="accent1" w:themeShade="80"/>
        </w:rPr>
        <w:t>Réponse BDF :</w:t>
      </w:r>
      <w:r w:rsidR="00EF68B4" w:rsidRPr="0014141C">
        <w:rPr>
          <w:i/>
          <w:color w:val="1F4E79" w:themeColor="accent1" w:themeShade="80"/>
        </w:rPr>
        <w:t xml:space="preserve"> l’identification des déclarations se fera dans OPC2 sur </w:t>
      </w:r>
      <w:r w:rsidR="00EF68B4" w:rsidRPr="0014141C">
        <w:rPr>
          <w:b/>
          <w:i/>
          <w:color w:val="1F4E79" w:themeColor="accent1" w:themeShade="80"/>
        </w:rPr>
        <w:t xml:space="preserve">le code </w:t>
      </w:r>
      <w:r w:rsidR="00090676" w:rsidRPr="0014141C">
        <w:rPr>
          <w:b/>
          <w:i/>
          <w:color w:val="1F4E79" w:themeColor="accent1" w:themeShade="80"/>
        </w:rPr>
        <w:t xml:space="preserve">interne </w:t>
      </w:r>
      <w:r w:rsidR="00EF68B4" w:rsidRPr="0014141C">
        <w:rPr>
          <w:b/>
          <w:i/>
          <w:color w:val="1F4E79" w:themeColor="accent1" w:themeShade="80"/>
        </w:rPr>
        <w:t>AMF</w:t>
      </w:r>
      <w:r w:rsidR="00EF68B4" w:rsidRPr="0014141C">
        <w:rPr>
          <w:i/>
          <w:color w:val="1F4E79" w:themeColor="accent1" w:themeShade="80"/>
        </w:rPr>
        <w:t xml:space="preserve">, code invariant par compartiment de fonds ou produit de fonds. </w:t>
      </w:r>
    </w:p>
    <w:p w14:paraId="4BDAA3EC" w14:textId="5E777CF8" w:rsidR="00DC089D" w:rsidRPr="0014141C" w:rsidRDefault="00DC089D" w:rsidP="00DC089D">
      <w:pPr>
        <w:rPr>
          <w:i/>
          <w:color w:val="1F4E79" w:themeColor="accent1" w:themeShade="80"/>
        </w:rPr>
      </w:pPr>
      <w:r w:rsidRPr="0014141C">
        <w:rPr>
          <w:i/>
          <w:color w:val="1F4E79" w:themeColor="accent1" w:themeShade="80"/>
        </w:rPr>
        <w:t xml:space="preserve">La possibilité de collecter dans le futur applicatif OPC2 le code interne </w:t>
      </w:r>
      <w:r w:rsidR="00EF68B4" w:rsidRPr="0014141C">
        <w:rPr>
          <w:i/>
          <w:color w:val="1F4E79" w:themeColor="accent1" w:themeShade="80"/>
        </w:rPr>
        <w:t>AMF</w:t>
      </w:r>
      <w:r w:rsidRPr="0014141C">
        <w:rPr>
          <w:i/>
          <w:color w:val="1F4E79" w:themeColor="accent1" w:themeShade="80"/>
        </w:rPr>
        <w:t xml:space="preserve"> permettra d’aligner le code du fonds entre la BDF et les remettants</w:t>
      </w:r>
      <w:r w:rsidR="006A462C" w:rsidRPr="0014141C">
        <w:rPr>
          <w:i/>
          <w:color w:val="1F4E79" w:themeColor="accent1" w:themeShade="80"/>
        </w:rPr>
        <w:t>, même en c</w:t>
      </w:r>
      <w:r w:rsidR="00E6208D" w:rsidRPr="0014141C">
        <w:rPr>
          <w:i/>
          <w:color w:val="1F4E79" w:themeColor="accent1" w:themeShade="80"/>
        </w:rPr>
        <w:t>a</w:t>
      </w:r>
      <w:r w:rsidR="006A462C" w:rsidRPr="0014141C">
        <w:rPr>
          <w:i/>
          <w:color w:val="1F4E79" w:themeColor="accent1" w:themeShade="80"/>
        </w:rPr>
        <w:t>s de changement d’ISIN de la part principale</w:t>
      </w:r>
      <w:r w:rsidRPr="0014141C">
        <w:rPr>
          <w:i/>
          <w:color w:val="1F4E79" w:themeColor="accent1" w:themeShade="80"/>
        </w:rPr>
        <w:t xml:space="preserve">. Pour cela l’AMF </w:t>
      </w:r>
      <w:r w:rsidR="00587513" w:rsidRPr="0014141C">
        <w:rPr>
          <w:i/>
          <w:color w:val="1F4E79" w:themeColor="accent1" w:themeShade="80"/>
        </w:rPr>
        <w:t xml:space="preserve">devra </w:t>
      </w:r>
      <w:r w:rsidRPr="0014141C">
        <w:rPr>
          <w:i/>
          <w:color w:val="1F4E79" w:themeColor="accent1" w:themeShade="80"/>
        </w:rPr>
        <w:t>communiquer ce code aux sociétés de gestion, ce qui n’est pas le cas pour l’instant.</w:t>
      </w:r>
    </w:p>
    <w:p w14:paraId="1DCF78D7" w14:textId="290229DC" w:rsidR="00DC089D" w:rsidRPr="0014141C" w:rsidRDefault="00DC089D" w:rsidP="00DC089D">
      <w:pPr>
        <w:rPr>
          <w:i/>
          <w:color w:val="1F4E79" w:themeColor="accent1" w:themeShade="80"/>
        </w:rPr>
      </w:pPr>
      <w:r w:rsidRPr="0014141C">
        <w:rPr>
          <w:i/>
          <w:color w:val="FF0000"/>
        </w:rPr>
        <w:t xml:space="preserve">Hors réunion </w:t>
      </w:r>
      <w:r w:rsidRPr="0014141C">
        <w:rPr>
          <w:i/>
          <w:color w:val="1F4E79" w:themeColor="accent1" w:themeShade="80"/>
        </w:rPr>
        <w:t>: interrogé par la BDF, l’AMF confirme que ce code AMF</w:t>
      </w:r>
      <w:r w:rsidR="00CC0E39" w:rsidRPr="0014141C">
        <w:rPr>
          <w:i/>
          <w:color w:val="1F4E79" w:themeColor="accent1" w:themeShade="80"/>
        </w:rPr>
        <w:t>,</w:t>
      </w:r>
      <w:r w:rsidRPr="0014141C">
        <w:rPr>
          <w:i/>
          <w:color w:val="1F4E79" w:themeColor="accent1" w:themeShade="80"/>
        </w:rPr>
        <w:t xml:space="preserve"> </w:t>
      </w:r>
      <w:r w:rsidR="005B188E" w:rsidRPr="0014141C">
        <w:rPr>
          <w:i/>
          <w:color w:val="1F4E79" w:themeColor="accent1" w:themeShade="80"/>
        </w:rPr>
        <w:t xml:space="preserve">est </w:t>
      </w:r>
      <w:r w:rsidRPr="0014141C">
        <w:rPr>
          <w:i/>
          <w:color w:val="1F4E79" w:themeColor="accent1" w:themeShade="80"/>
        </w:rPr>
        <w:t xml:space="preserve">déjà connu des déclarations AIFM (code « FDS… ») </w:t>
      </w:r>
      <w:r w:rsidR="005B188E" w:rsidRPr="0014141C">
        <w:rPr>
          <w:i/>
          <w:color w:val="1F4E79" w:themeColor="accent1" w:themeShade="80"/>
        </w:rPr>
        <w:t xml:space="preserve">et </w:t>
      </w:r>
      <w:r w:rsidRPr="0014141C">
        <w:rPr>
          <w:i/>
          <w:color w:val="1F4E79" w:themeColor="accent1" w:themeShade="80"/>
        </w:rPr>
        <w:t xml:space="preserve">pourra être donné (rendu publique) </w:t>
      </w:r>
      <w:r w:rsidR="00587513" w:rsidRPr="0014141C">
        <w:rPr>
          <w:i/>
          <w:color w:val="1F4E79" w:themeColor="accent1" w:themeShade="80"/>
        </w:rPr>
        <w:t xml:space="preserve">pour </w:t>
      </w:r>
      <w:r w:rsidRPr="0014141C">
        <w:rPr>
          <w:i/>
          <w:color w:val="1F4E79" w:themeColor="accent1" w:themeShade="80"/>
        </w:rPr>
        <w:t>toute</w:t>
      </w:r>
      <w:r w:rsidR="00587513" w:rsidRPr="0014141C">
        <w:rPr>
          <w:i/>
          <w:color w:val="1F4E79" w:themeColor="accent1" w:themeShade="80"/>
        </w:rPr>
        <w:t>s</w:t>
      </w:r>
      <w:r w:rsidRPr="0014141C">
        <w:rPr>
          <w:i/>
          <w:color w:val="1F4E79" w:themeColor="accent1" w:themeShade="80"/>
        </w:rPr>
        <w:t xml:space="preserve"> les sociétés de gestion.</w:t>
      </w:r>
    </w:p>
    <w:p w14:paraId="3B5B9D5B" w14:textId="591FE83B" w:rsidR="00DC089D" w:rsidRDefault="00DC6470" w:rsidP="00DC089D">
      <w:pPr>
        <w:rPr>
          <w:i/>
          <w:color w:val="1F4E79" w:themeColor="accent1" w:themeShade="80"/>
        </w:rPr>
      </w:pPr>
      <w:r w:rsidRPr="00D06400">
        <w:rPr>
          <w:i/>
          <w:color w:val="1F4E79" w:themeColor="accent1" w:themeShade="80"/>
        </w:rPr>
        <w:t>En</w:t>
      </w:r>
      <w:r w:rsidR="00DC089D" w:rsidRPr="00D06400">
        <w:rPr>
          <w:i/>
          <w:color w:val="1F4E79" w:themeColor="accent1" w:themeShade="80"/>
        </w:rPr>
        <w:t xml:space="preserve"> revanche</w:t>
      </w:r>
      <w:r w:rsidR="00A22208" w:rsidRPr="00D06400">
        <w:rPr>
          <w:i/>
          <w:color w:val="1F4E79" w:themeColor="accent1" w:themeShade="80"/>
        </w:rPr>
        <w:t xml:space="preserve"> certains</w:t>
      </w:r>
      <w:r w:rsidR="00DC089D" w:rsidRPr="00D06400">
        <w:rPr>
          <w:i/>
          <w:color w:val="1F4E79" w:themeColor="accent1" w:themeShade="80"/>
        </w:rPr>
        <w:t xml:space="preserve"> problèmes liés au </w:t>
      </w:r>
      <w:r w:rsidR="00A22208" w:rsidRPr="00D06400">
        <w:rPr>
          <w:i/>
          <w:color w:val="1F4E79" w:themeColor="accent1" w:themeShade="80"/>
        </w:rPr>
        <w:t xml:space="preserve">retard du </w:t>
      </w:r>
      <w:r w:rsidR="00DC089D" w:rsidRPr="00D06400">
        <w:rPr>
          <w:i/>
          <w:color w:val="1F4E79" w:themeColor="accent1" w:themeShade="80"/>
        </w:rPr>
        <w:t>flux AMF devraient perdurer jusqu’au nouveaux flux BIO3 (</w:t>
      </w:r>
      <w:r w:rsidR="00DA38EE">
        <w:rPr>
          <w:i/>
          <w:color w:val="1F4E79" w:themeColor="accent1" w:themeShade="80"/>
        </w:rPr>
        <w:t>pour lequel</w:t>
      </w:r>
      <w:r w:rsidR="00DA38EE" w:rsidRPr="00D06400">
        <w:rPr>
          <w:i/>
          <w:color w:val="1F4E79" w:themeColor="accent1" w:themeShade="80"/>
        </w:rPr>
        <w:t xml:space="preserve"> </w:t>
      </w:r>
      <w:r w:rsidR="00DC089D" w:rsidRPr="00D06400">
        <w:rPr>
          <w:i/>
          <w:color w:val="1F4E79" w:themeColor="accent1" w:themeShade="80"/>
        </w:rPr>
        <w:t>les informations seront à la main</w:t>
      </w:r>
      <w:r w:rsidR="007F5325">
        <w:rPr>
          <w:i/>
          <w:color w:val="1F4E79" w:themeColor="accent1" w:themeShade="80"/>
        </w:rPr>
        <w:t xml:space="preserve"> de chaque société de gestion).</w:t>
      </w:r>
    </w:p>
    <w:p w14:paraId="0558B136" w14:textId="73082B7F" w:rsidR="0036192C" w:rsidRPr="00ED5909" w:rsidRDefault="007F5325" w:rsidP="0036192C">
      <w:pPr>
        <w:pBdr>
          <w:top w:val="single" w:sz="4" w:space="1" w:color="auto"/>
          <w:left w:val="single" w:sz="4" w:space="4" w:color="auto"/>
          <w:bottom w:val="single" w:sz="4" w:space="1" w:color="auto"/>
          <w:right w:val="single" w:sz="4" w:space="4" w:color="auto"/>
        </w:pBdr>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36192C" w:rsidRPr="00ED5909">
        <w:rPr>
          <w:b/>
          <w:color w:val="00B050"/>
        </w:rPr>
        <w:t xml:space="preserve">Le code interne AMF des fonds pourrait être rendu public par l’AMF. Ce sujet est en cours de discussion </w:t>
      </w:r>
    </w:p>
    <w:p w14:paraId="4F05F6D4" w14:textId="7C00FA89" w:rsidR="006A462C" w:rsidRPr="00D06400" w:rsidRDefault="006A462C" w:rsidP="006A462C">
      <w:pPr>
        <w:pStyle w:val="Paragraphedeliste"/>
        <w:numPr>
          <w:ilvl w:val="0"/>
          <w:numId w:val="9"/>
        </w:numPr>
        <w:ind w:left="426" w:hanging="426"/>
        <w:rPr>
          <w:i/>
          <w:color w:val="ED7D31" w:themeColor="accent2"/>
          <w:sz w:val="24"/>
        </w:rPr>
      </w:pPr>
      <w:r w:rsidRPr="00D06400">
        <w:rPr>
          <w:i/>
          <w:color w:val="ED7D31" w:themeColor="accent2"/>
          <w:sz w:val="24"/>
        </w:rPr>
        <w:t>Informations erronées sur part/produit de fonds et information manquante sur solde de fonds</w:t>
      </w:r>
    </w:p>
    <w:p w14:paraId="3BB5F85E" w14:textId="763E6D96" w:rsidR="006A462C" w:rsidRPr="004E7FED" w:rsidRDefault="00A52053" w:rsidP="00DC089D">
      <w:r w:rsidRPr="004E7FED">
        <w:t>C</w:t>
      </w:r>
      <w:r w:rsidR="006A462C" w:rsidRPr="004E7FED">
        <w:t xml:space="preserve">ertaines données d’état civil AMF ne sont pas en accord avec les données des remettants, notamment lors de la fermeture d’un fonds (fonds existant à tort dans le flux </w:t>
      </w:r>
      <w:r w:rsidR="00587513" w:rsidRPr="004E7FED">
        <w:t>AMF</w:t>
      </w:r>
      <w:r w:rsidR="006A462C" w:rsidRPr="004E7FED">
        <w:t>) ou fusion de fonds (pas d’information sur les parts secondaires dans le flux AMF)</w:t>
      </w:r>
    </w:p>
    <w:p w14:paraId="44B09050" w14:textId="704254FA" w:rsidR="00C4555E" w:rsidRPr="004E7FED" w:rsidRDefault="006A462C" w:rsidP="00C4555E">
      <w:pPr>
        <w:rPr>
          <w:i/>
          <w:color w:val="2F5496" w:themeColor="accent5" w:themeShade="BF"/>
        </w:rPr>
      </w:pPr>
      <w:r w:rsidRPr="004E7FED">
        <w:rPr>
          <w:b/>
          <w:i/>
          <w:color w:val="1F4E79" w:themeColor="accent1" w:themeShade="80"/>
        </w:rPr>
        <w:t>Réponse BDF :</w:t>
      </w:r>
      <w:r w:rsidRPr="004E7FED">
        <w:rPr>
          <w:i/>
          <w:color w:val="1F4E79" w:themeColor="accent1" w:themeShade="80"/>
        </w:rPr>
        <w:t xml:space="preserve"> avant BIO3, </w:t>
      </w:r>
      <w:r w:rsidR="00A52053" w:rsidRPr="004E7FED">
        <w:rPr>
          <w:i/>
          <w:color w:val="1F4E79" w:themeColor="accent1" w:themeShade="80"/>
        </w:rPr>
        <w:t>faible probabilité</w:t>
      </w:r>
      <w:r w:rsidRPr="004E7FED">
        <w:rPr>
          <w:i/>
          <w:color w:val="1F4E79" w:themeColor="accent1" w:themeShade="80"/>
        </w:rPr>
        <w:t xml:space="preserve"> d’amélioration d</w:t>
      </w:r>
      <w:r w:rsidR="00A52053" w:rsidRPr="004E7FED">
        <w:rPr>
          <w:i/>
          <w:color w:val="1F4E79" w:themeColor="accent1" w:themeShade="80"/>
        </w:rPr>
        <w:t>e</w:t>
      </w:r>
      <w:r w:rsidRPr="004E7FED">
        <w:rPr>
          <w:i/>
          <w:color w:val="1F4E79" w:themeColor="accent1" w:themeShade="80"/>
        </w:rPr>
        <w:t xml:space="preserve"> la qualité du flux AMF, qui est </w:t>
      </w:r>
      <w:r w:rsidR="00A52053" w:rsidRPr="004E7FED">
        <w:rPr>
          <w:i/>
          <w:color w:val="1F4E79" w:themeColor="accent1" w:themeShade="80"/>
        </w:rPr>
        <w:t>globalement bonne</w:t>
      </w:r>
      <w:r w:rsidRPr="004E7FED">
        <w:rPr>
          <w:i/>
          <w:color w:val="1F4E79" w:themeColor="accent1" w:themeShade="80"/>
        </w:rPr>
        <w:t xml:space="preserve"> mais qui comporte des écarts de « date » sur les éléments de solde/fusion.</w:t>
      </w:r>
    </w:p>
    <w:p w14:paraId="449D2840" w14:textId="77777777" w:rsidR="00A22208" w:rsidRPr="003C34C2" w:rsidRDefault="00A22208" w:rsidP="00A22208">
      <w:pPr>
        <w:pStyle w:val="Paragraphedeliste"/>
        <w:numPr>
          <w:ilvl w:val="0"/>
          <w:numId w:val="9"/>
        </w:numPr>
        <w:ind w:left="426" w:hanging="426"/>
        <w:rPr>
          <w:sz w:val="20"/>
        </w:rPr>
      </w:pPr>
      <w:r w:rsidRPr="00D06400">
        <w:rPr>
          <w:i/>
          <w:color w:val="ED7D31" w:themeColor="accent2"/>
          <w:sz w:val="24"/>
        </w:rPr>
        <w:t>Gestion des remettants par fonds – cas des nouveaux fonds sans remettants</w:t>
      </w:r>
    </w:p>
    <w:p w14:paraId="5C1DFB43" w14:textId="77777777" w:rsidR="00A22208" w:rsidRPr="004E7FED" w:rsidRDefault="00A22208" w:rsidP="00A22208">
      <w:pPr>
        <w:pStyle w:val="Paragraphedeliste"/>
        <w:ind w:left="426"/>
        <w:rPr>
          <w:i/>
        </w:rPr>
      </w:pPr>
    </w:p>
    <w:p w14:paraId="053D1548" w14:textId="769651B4" w:rsidR="00A22208" w:rsidRPr="004E7FED" w:rsidRDefault="00A52053" w:rsidP="00DC6470">
      <w:r w:rsidRPr="004E7FED">
        <w:t>C</w:t>
      </w:r>
      <w:r w:rsidR="00DC6470" w:rsidRPr="004E7FED">
        <w:t>ertains fonds nouvellement créé</w:t>
      </w:r>
      <w:r w:rsidR="00587513" w:rsidRPr="004E7FED">
        <w:t>s</w:t>
      </w:r>
      <w:r w:rsidR="00DC6470" w:rsidRPr="004E7FED">
        <w:t xml:space="preserve"> n’ont pas de remettant </w:t>
      </w:r>
      <w:r w:rsidRPr="004E7FED">
        <w:t xml:space="preserve">identifié </w:t>
      </w:r>
      <w:r w:rsidR="00DC6470" w:rsidRPr="004E7FED">
        <w:t>pour la transmission des données à la BDF. C’est le cas</w:t>
      </w:r>
      <w:r w:rsidR="00A22208" w:rsidRPr="004E7FED">
        <w:t xml:space="preserve"> lorsqu’un fonds est créé</w:t>
      </w:r>
      <w:r w:rsidR="00DC6470" w:rsidRPr="004E7FED">
        <w:t xml:space="preserve"> et que sa</w:t>
      </w:r>
      <w:r w:rsidR="00A22208" w:rsidRPr="004E7FED">
        <w:t xml:space="preserve"> société de gestion</w:t>
      </w:r>
      <w:r w:rsidR="00DC6470" w:rsidRPr="004E7FED">
        <w:t xml:space="preserve"> </w:t>
      </w:r>
      <w:r w:rsidRPr="004E7FED">
        <w:t>a recours à</w:t>
      </w:r>
      <w:r w:rsidR="00A22208" w:rsidRPr="004E7FED">
        <w:t xml:space="preserve"> plusieurs </w:t>
      </w:r>
      <w:r w:rsidR="009D51E9" w:rsidRPr="004E7FED">
        <w:t>remettants, ou lorsque la société de gestion est nouvelle.</w:t>
      </w:r>
    </w:p>
    <w:p w14:paraId="136619C4" w14:textId="265940E1" w:rsidR="00A22208" w:rsidRPr="004E7FED" w:rsidRDefault="00A22208" w:rsidP="00A22208">
      <w:pPr>
        <w:rPr>
          <w:i/>
          <w:color w:val="1F4E79" w:themeColor="accent1" w:themeShade="80"/>
        </w:rPr>
      </w:pPr>
      <w:r w:rsidRPr="004E7FED">
        <w:rPr>
          <w:b/>
          <w:i/>
          <w:color w:val="1F4E79" w:themeColor="accent1" w:themeShade="80"/>
        </w:rPr>
        <w:t>Réponse BDF</w:t>
      </w:r>
      <w:r w:rsidRPr="004E7FED">
        <w:rPr>
          <w:i/>
          <w:color w:val="1F4E79" w:themeColor="accent1" w:themeShade="80"/>
        </w:rPr>
        <w:t xml:space="preserve"> : voir avec </w:t>
      </w:r>
      <w:r w:rsidR="00853FA5">
        <w:rPr>
          <w:i/>
          <w:color w:val="1F4E79" w:themeColor="accent1" w:themeShade="80"/>
        </w:rPr>
        <w:t>l’</w:t>
      </w:r>
      <w:r w:rsidRPr="004E7FED">
        <w:rPr>
          <w:i/>
          <w:color w:val="1F4E79" w:themeColor="accent1" w:themeShade="80"/>
        </w:rPr>
        <w:t>AMF si possibilité d’inclure dans BIO</w:t>
      </w:r>
      <w:r w:rsidR="00E6208D" w:rsidRPr="004E7FED">
        <w:rPr>
          <w:i/>
          <w:color w:val="1F4E79" w:themeColor="accent1" w:themeShade="80"/>
        </w:rPr>
        <w:t xml:space="preserve">3 </w:t>
      </w:r>
      <w:r w:rsidR="00587513" w:rsidRPr="004E7FED">
        <w:rPr>
          <w:i/>
          <w:color w:val="1F4E79" w:themeColor="accent1" w:themeShade="80"/>
        </w:rPr>
        <w:t>l’identification d’</w:t>
      </w:r>
      <w:r w:rsidR="00E6208D" w:rsidRPr="004E7FED">
        <w:rPr>
          <w:i/>
          <w:color w:val="1F4E79" w:themeColor="accent1" w:themeShade="80"/>
        </w:rPr>
        <w:t>un contact pour</w:t>
      </w:r>
      <w:r w:rsidR="00A52053" w:rsidRPr="004E7FED">
        <w:rPr>
          <w:i/>
          <w:color w:val="1F4E79" w:themeColor="accent1" w:themeShade="80"/>
        </w:rPr>
        <w:t xml:space="preserve"> les</w:t>
      </w:r>
      <w:r w:rsidR="00E6208D" w:rsidRPr="004E7FED">
        <w:rPr>
          <w:i/>
          <w:color w:val="1F4E79" w:themeColor="accent1" w:themeShade="80"/>
        </w:rPr>
        <w:t xml:space="preserve"> déclaration</w:t>
      </w:r>
      <w:r w:rsidR="00853FA5">
        <w:rPr>
          <w:i/>
          <w:color w:val="1F4E79" w:themeColor="accent1" w:themeShade="80"/>
        </w:rPr>
        <w:t>s</w:t>
      </w:r>
      <w:r w:rsidR="00E6208D" w:rsidRPr="004E7FED">
        <w:rPr>
          <w:i/>
          <w:color w:val="1F4E79" w:themeColor="accent1" w:themeShade="80"/>
        </w:rPr>
        <w:t xml:space="preserve"> BDF</w:t>
      </w:r>
      <w:r w:rsidR="00DC6470" w:rsidRPr="004E7FED">
        <w:rPr>
          <w:i/>
          <w:color w:val="1F4E79" w:themeColor="accent1" w:themeShade="80"/>
        </w:rPr>
        <w:t>.</w:t>
      </w:r>
      <w:r w:rsidR="00A52053" w:rsidRPr="004E7FED">
        <w:rPr>
          <w:i/>
          <w:color w:val="1F4E79" w:themeColor="accent1" w:themeShade="80"/>
        </w:rPr>
        <w:t xml:space="preserve"> </w:t>
      </w:r>
      <w:r w:rsidR="00EC42AC" w:rsidRPr="004E7FED">
        <w:rPr>
          <w:i/>
          <w:color w:val="1F4E79" w:themeColor="accent1" w:themeShade="80"/>
        </w:rPr>
        <w:t xml:space="preserve">Si l’AMF ne peut le faire, la BDF doit trouver une </w:t>
      </w:r>
      <w:r w:rsidR="00DC6470" w:rsidRPr="004E7FED">
        <w:rPr>
          <w:i/>
          <w:color w:val="1F4E79" w:themeColor="accent1" w:themeShade="80"/>
        </w:rPr>
        <w:t>solution alternative</w:t>
      </w:r>
      <w:r w:rsidR="00F775C3" w:rsidRPr="004E7FED">
        <w:rPr>
          <w:i/>
          <w:color w:val="FF0000"/>
        </w:rPr>
        <w:t xml:space="preserve"> </w:t>
      </w:r>
      <w:r w:rsidR="007F5325">
        <w:rPr>
          <w:i/>
          <w:color w:val="1F4E79" w:themeColor="accent1" w:themeShade="80"/>
        </w:rPr>
        <w:t>afin de résoudre ces cas.</w:t>
      </w:r>
    </w:p>
    <w:p w14:paraId="62BEF3A3" w14:textId="6360FE45" w:rsidR="0020611D" w:rsidRPr="00ED5909" w:rsidRDefault="007F5325" w:rsidP="00031156">
      <w:pPr>
        <w:pBdr>
          <w:top w:val="single" w:sz="4" w:space="1" w:color="auto"/>
          <w:left w:val="single" w:sz="4" w:space="4" w:color="auto"/>
          <w:bottom w:val="single" w:sz="4" w:space="1" w:color="auto"/>
          <w:right w:val="single" w:sz="4" w:space="4" w:color="auto"/>
        </w:pBdr>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AD13C1" w:rsidRPr="00ED5909">
        <w:rPr>
          <w:b/>
          <w:color w:val="00B050"/>
        </w:rPr>
        <w:t>L’AMF doit créer dans BIO3 un</w:t>
      </w:r>
      <w:r w:rsidR="00970AF0" w:rsidRPr="00ED5909">
        <w:rPr>
          <w:b/>
          <w:color w:val="00B050"/>
        </w:rPr>
        <w:t>e case relative à l’information d</w:t>
      </w:r>
      <w:r w:rsidR="00AD13C1" w:rsidRPr="00ED5909">
        <w:rPr>
          <w:b/>
          <w:color w:val="00B050"/>
        </w:rPr>
        <w:t xml:space="preserve">u contact </w:t>
      </w:r>
      <w:r w:rsidR="0036192C" w:rsidRPr="00ED5909">
        <w:rPr>
          <w:b/>
          <w:color w:val="00B050"/>
        </w:rPr>
        <w:t>de la société de</w:t>
      </w:r>
      <w:r w:rsidR="005474B8" w:rsidRPr="00ED5909">
        <w:rPr>
          <w:b/>
          <w:color w:val="00B050"/>
        </w:rPr>
        <w:t xml:space="preserve"> gestion </w:t>
      </w:r>
      <w:r w:rsidR="00AD13C1" w:rsidRPr="00ED5909">
        <w:rPr>
          <w:b/>
          <w:color w:val="00B050"/>
        </w:rPr>
        <w:t xml:space="preserve">(voire plusieurs ?) </w:t>
      </w:r>
      <w:r w:rsidR="00970AF0" w:rsidRPr="00ED5909">
        <w:rPr>
          <w:b/>
          <w:color w:val="00B050"/>
        </w:rPr>
        <w:t xml:space="preserve">du fonds </w:t>
      </w:r>
      <w:r w:rsidR="00AD13C1" w:rsidRPr="00ED5909">
        <w:rPr>
          <w:b/>
          <w:color w:val="00B050"/>
        </w:rPr>
        <w:t xml:space="preserve">afin </w:t>
      </w:r>
      <w:r w:rsidR="0036192C" w:rsidRPr="00ED5909">
        <w:rPr>
          <w:b/>
          <w:color w:val="00B050"/>
        </w:rPr>
        <w:t xml:space="preserve">que la BDF puisse plus facilement qu’actuellement contacter celle-ci et </w:t>
      </w:r>
      <w:r w:rsidR="00031156" w:rsidRPr="00ED5909">
        <w:rPr>
          <w:b/>
          <w:color w:val="00B050"/>
        </w:rPr>
        <w:t xml:space="preserve">identifier </w:t>
      </w:r>
      <w:r w:rsidR="0036192C" w:rsidRPr="00ED5909">
        <w:rPr>
          <w:b/>
          <w:color w:val="00B050"/>
        </w:rPr>
        <w:t>le remettant pour</w:t>
      </w:r>
      <w:r w:rsidR="00970AF0" w:rsidRPr="00ED5909">
        <w:rPr>
          <w:b/>
          <w:color w:val="00B050"/>
        </w:rPr>
        <w:t xml:space="preserve"> valoriser le</w:t>
      </w:r>
      <w:r w:rsidR="00031156" w:rsidRPr="00ED5909">
        <w:rPr>
          <w:b/>
          <w:color w:val="00B050"/>
        </w:rPr>
        <w:t xml:space="preserve"> fonds.</w:t>
      </w:r>
      <w:r w:rsidR="005474B8" w:rsidRPr="00ED5909">
        <w:rPr>
          <w:b/>
          <w:color w:val="00B050"/>
        </w:rPr>
        <w:t xml:space="preserve"> Actuellement un fonds dont le remettant n’est pas connu ne peut </w:t>
      </w:r>
      <w:r w:rsidR="00F752B5" w:rsidRPr="00ED5909">
        <w:rPr>
          <w:b/>
          <w:color w:val="00B050"/>
        </w:rPr>
        <w:t xml:space="preserve">pas </w:t>
      </w:r>
      <w:r w:rsidR="005474B8" w:rsidRPr="00ED5909">
        <w:rPr>
          <w:b/>
          <w:color w:val="00B050"/>
        </w:rPr>
        <w:t>être valorisé.</w:t>
      </w:r>
    </w:p>
    <w:p w14:paraId="13D164A9" w14:textId="77777777" w:rsidR="00C10E51" w:rsidRDefault="00C10E51" w:rsidP="00C10E51">
      <w:pPr>
        <w:pStyle w:val="Paragraphedeliste"/>
        <w:rPr>
          <w:b/>
          <w:color w:val="44546A" w:themeColor="text2"/>
          <w:sz w:val="26"/>
          <w:szCs w:val="26"/>
        </w:rPr>
      </w:pPr>
    </w:p>
    <w:p w14:paraId="3D3364E1" w14:textId="40BC5338" w:rsidR="00B04DF3" w:rsidRDefault="00584C41" w:rsidP="00CA1948">
      <w:pPr>
        <w:pStyle w:val="Paragraphedeliste"/>
        <w:numPr>
          <w:ilvl w:val="0"/>
          <w:numId w:val="3"/>
        </w:numPr>
        <w:rPr>
          <w:b/>
          <w:color w:val="44546A" w:themeColor="text2"/>
          <w:sz w:val="26"/>
          <w:szCs w:val="26"/>
        </w:rPr>
      </w:pPr>
      <w:r>
        <w:rPr>
          <w:b/>
          <w:color w:val="44546A" w:themeColor="text2"/>
          <w:sz w:val="26"/>
          <w:szCs w:val="26"/>
        </w:rPr>
        <w:t>AJOUTS DE COLLECTE</w:t>
      </w:r>
      <w:r w:rsidR="003C580C">
        <w:rPr>
          <w:b/>
          <w:color w:val="44546A" w:themeColor="text2"/>
          <w:sz w:val="26"/>
          <w:szCs w:val="26"/>
        </w:rPr>
        <w:t xml:space="preserve"> </w:t>
      </w:r>
      <w:r w:rsidR="00B04DF3">
        <w:rPr>
          <w:b/>
          <w:color w:val="44546A" w:themeColor="text2"/>
          <w:sz w:val="26"/>
          <w:szCs w:val="26"/>
        </w:rPr>
        <w:t>DANS OPC2</w:t>
      </w:r>
    </w:p>
    <w:p w14:paraId="3CF9D49A" w14:textId="77777777" w:rsidR="00B04DF3" w:rsidRDefault="00B04DF3" w:rsidP="00B04DF3">
      <w:pPr>
        <w:pStyle w:val="Paragraphedeliste"/>
        <w:rPr>
          <w:b/>
          <w:color w:val="44546A" w:themeColor="text2"/>
          <w:sz w:val="26"/>
          <w:szCs w:val="26"/>
        </w:rPr>
      </w:pPr>
    </w:p>
    <w:p w14:paraId="7A9D512C" w14:textId="37138501" w:rsidR="00112C99" w:rsidRPr="00D06400" w:rsidRDefault="00B04DF3" w:rsidP="00B04DF3">
      <w:pPr>
        <w:pStyle w:val="Paragraphedeliste"/>
        <w:numPr>
          <w:ilvl w:val="1"/>
          <w:numId w:val="3"/>
        </w:numPr>
        <w:rPr>
          <w:b/>
          <w:color w:val="44546A" w:themeColor="text2"/>
          <w:sz w:val="28"/>
          <w:szCs w:val="26"/>
        </w:rPr>
      </w:pPr>
      <w:r w:rsidRPr="00D06400">
        <w:rPr>
          <w:b/>
          <w:color w:val="808080" w:themeColor="background1" w:themeShade="80"/>
          <w:sz w:val="28"/>
          <w:szCs w:val="26"/>
        </w:rPr>
        <w:lastRenderedPageBreak/>
        <w:t xml:space="preserve">Ajouts </w:t>
      </w:r>
      <w:r w:rsidR="00D06400" w:rsidRPr="00D06400">
        <w:rPr>
          <w:b/>
          <w:color w:val="808080" w:themeColor="background1" w:themeShade="80"/>
          <w:sz w:val="28"/>
          <w:szCs w:val="26"/>
        </w:rPr>
        <w:t xml:space="preserve">de collecte </w:t>
      </w:r>
      <w:r w:rsidRPr="00D06400">
        <w:rPr>
          <w:b/>
          <w:color w:val="808080" w:themeColor="background1" w:themeShade="80"/>
          <w:sz w:val="28"/>
          <w:szCs w:val="26"/>
        </w:rPr>
        <w:t>pour tout type de fonds</w:t>
      </w:r>
    </w:p>
    <w:p w14:paraId="5FEC5109" w14:textId="77777777" w:rsidR="00B04DF3" w:rsidRPr="00CA1948" w:rsidRDefault="00B04DF3" w:rsidP="00B04DF3">
      <w:pPr>
        <w:pStyle w:val="Paragraphedeliste"/>
        <w:ind w:left="1440"/>
        <w:rPr>
          <w:b/>
          <w:color w:val="44546A" w:themeColor="text2"/>
          <w:sz w:val="26"/>
          <w:szCs w:val="26"/>
        </w:rPr>
      </w:pPr>
    </w:p>
    <w:p w14:paraId="57CA469D" w14:textId="0603DACB" w:rsidR="00436FB8" w:rsidRDefault="00436FB8" w:rsidP="00112C99">
      <w:pPr>
        <w:pStyle w:val="Paragraphedeliste"/>
        <w:rPr>
          <w:i/>
          <w:color w:val="2F5496" w:themeColor="accent5" w:themeShade="BF"/>
          <w:sz w:val="20"/>
        </w:rPr>
      </w:pPr>
    </w:p>
    <w:p w14:paraId="5CED447C" w14:textId="25A00BF6" w:rsidR="00436FB8" w:rsidRPr="00F55904" w:rsidRDefault="00436FB8" w:rsidP="00F55904">
      <w:pPr>
        <w:pStyle w:val="Paragraphedeliste"/>
        <w:numPr>
          <w:ilvl w:val="0"/>
          <w:numId w:val="7"/>
        </w:numPr>
        <w:rPr>
          <w:i/>
          <w:sz w:val="28"/>
        </w:rPr>
      </w:pPr>
      <w:r w:rsidRPr="00F55904">
        <w:rPr>
          <w:i/>
          <w:sz w:val="28"/>
        </w:rPr>
        <w:t>Code interne AMF</w:t>
      </w:r>
    </w:p>
    <w:p w14:paraId="0B2E571D" w14:textId="1278F234" w:rsidR="00436FB8" w:rsidRPr="004E7FED" w:rsidRDefault="00003564" w:rsidP="003C34C2">
      <w:r w:rsidRPr="004E7FED">
        <w:t>Le code interne AMF serait demandé</w:t>
      </w:r>
      <w:r w:rsidR="003C6A45" w:rsidRPr="004E7FED">
        <w:t>. Ce code est utilisé dans le cadre du reporting AIFM.</w:t>
      </w:r>
      <w:r w:rsidR="00436FB8" w:rsidRPr="004E7FED">
        <w:t xml:space="preserve"> </w:t>
      </w:r>
      <w:r w:rsidR="003A7229" w:rsidRPr="004E7FED">
        <w:t xml:space="preserve">Ce code </w:t>
      </w:r>
      <w:r w:rsidR="00DA38EE">
        <w:t>a</w:t>
      </w:r>
      <w:r w:rsidR="00DA38EE" w:rsidRPr="004E7FED">
        <w:t xml:space="preserve"> </w:t>
      </w:r>
      <w:r w:rsidR="003A7229" w:rsidRPr="004E7FED">
        <w:t>l’avantage par rapport au code ISIN de ne jamais changer.</w:t>
      </w:r>
    </w:p>
    <w:p w14:paraId="619C2BB0" w14:textId="77777777" w:rsidR="000B65A5" w:rsidRPr="003C34C2" w:rsidRDefault="000B65A5" w:rsidP="003C34C2">
      <w:pPr>
        <w:rPr>
          <w:i/>
          <w:sz w:val="20"/>
        </w:rPr>
      </w:pPr>
    </w:p>
    <w:p w14:paraId="3E30177E" w14:textId="5A92FB60" w:rsidR="00090676" w:rsidRPr="00F55904" w:rsidRDefault="000135A2" w:rsidP="00F55904">
      <w:pPr>
        <w:pStyle w:val="Paragraphedeliste"/>
        <w:numPr>
          <w:ilvl w:val="0"/>
          <w:numId w:val="7"/>
        </w:numPr>
        <w:rPr>
          <w:i/>
          <w:sz w:val="28"/>
        </w:rPr>
      </w:pPr>
      <w:r w:rsidRPr="00F55904">
        <w:rPr>
          <w:i/>
          <w:sz w:val="28"/>
        </w:rPr>
        <w:t xml:space="preserve">Informations nouvelles sur </w:t>
      </w:r>
      <w:r w:rsidR="00090676" w:rsidRPr="00F55904">
        <w:rPr>
          <w:i/>
          <w:sz w:val="28"/>
        </w:rPr>
        <w:t>les Produits financiers dérivés</w:t>
      </w:r>
    </w:p>
    <w:p w14:paraId="113D6729" w14:textId="2DA2AC3E" w:rsidR="000B65A5" w:rsidRPr="00811DC9" w:rsidRDefault="00343C6D" w:rsidP="00112C99">
      <w:r w:rsidRPr="00811DC9">
        <w:t>L’objectif est de se rapprocher des concepts de la balance des paiements</w:t>
      </w:r>
      <w:r w:rsidR="00436FB8" w:rsidRPr="00811DC9">
        <w:t>.</w:t>
      </w:r>
      <w:r w:rsidRPr="00811DC9">
        <w:t xml:space="preserve"> </w:t>
      </w:r>
      <w:r w:rsidR="00090676" w:rsidRPr="00811DC9">
        <w:t>La nomenclature 4 actuelle du cahier des charges serait mise à jour</w:t>
      </w:r>
      <w:r w:rsidRPr="00811DC9">
        <w:t xml:space="preserve">. Les codes, 10 options et warrant, 11 Credit Linked notes, 12 autres dérivés de crédit, 13 autres produits dérivés seraient supprimés et remplacés par </w:t>
      </w:r>
    </w:p>
    <w:p w14:paraId="67EE6364" w14:textId="1EA8B9DE" w:rsidR="00343C6D" w:rsidRPr="00811DC9" w:rsidRDefault="00343C6D" w:rsidP="000B65A5">
      <w:pPr>
        <w:pStyle w:val="Paragraphedeliste"/>
        <w:numPr>
          <w:ilvl w:val="0"/>
          <w:numId w:val="15"/>
        </w:numPr>
      </w:pPr>
      <w:r w:rsidRPr="00D06400">
        <w:rPr>
          <w:i/>
          <w:color w:val="ED7D31" w:themeColor="accent2"/>
          <w:sz w:val="24"/>
        </w:rPr>
        <w:t xml:space="preserve">4 </w:t>
      </w:r>
      <w:r w:rsidR="000B65A5" w:rsidRPr="00D06400">
        <w:rPr>
          <w:i/>
          <w:color w:val="ED7D31" w:themeColor="accent2"/>
          <w:sz w:val="24"/>
        </w:rPr>
        <w:t>occurrences</w:t>
      </w:r>
      <w:r w:rsidR="00BD737E" w:rsidRPr="00D06400">
        <w:rPr>
          <w:i/>
          <w:color w:val="ED7D31" w:themeColor="accent2"/>
          <w:sz w:val="24"/>
        </w:rPr>
        <w:t xml:space="preserve"> sur produits dérivés</w:t>
      </w:r>
      <w:r w:rsidR="000B65A5" w:rsidRPr="00D06400">
        <w:rPr>
          <w:i/>
          <w:color w:val="ED7D31" w:themeColor="accent2"/>
          <w:sz w:val="24"/>
        </w:rPr>
        <w:t> :</w:t>
      </w:r>
      <w:r w:rsidRPr="00811DC9">
        <w:t xml:space="preserve"> Option/Warrant</w:t>
      </w:r>
      <w:r w:rsidR="007E0131" w:rsidRPr="00811DC9">
        <w:t xml:space="preserve"> ; </w:t>
      </w:r>
      <w:r w:rsidRPr="00811DC9">
        <w:t>Futures</w:t>
      </w:r>
      <w:r w:rsidR="007E0131" w:rsidRPr="00811DC9">
        <w:t xml:space="preserve"> ; </w:t>
      </w:r>
      <w:r w:rsidRPr="00811DC9">
        <w:t>Forward</w:t>
      </w:r>
      <w:r w:rsidR="007E0131" w:rsidRPr="00811DC9">
        <w:t xml:space="preserve"> ; </w:t>
      </w:r>
      <w:r w:rsidRPr="00811DC9">
        <w:t>Swap</w:t>
      </w:r>
    </w:p>
    <w:p w14:paraId="76D0F046" w14:textId="118D6B74" w:rsidR="000B65A5" w:rsidRPr="00811DC9" w:rsidRDefault="000135A2" w:rsidP="00112C99">
      <w:pPr>
        <w:pStyle w:val="Paragraphedeliste"/>
        <w:numPr>
          <w:ilvl w:val="0"/>
          <w:numId w:val="15"/>
        </w:numPr>
      </w:pPr>
      <w:r w:rsidRPr="00D06400">
        <w:rPr>
          <w:i/>
          <w:color w:val="ED7D31" w:themeColor="accent2"/>
          <w:sz w:val="24"/>
        </w:rPr>
        <w:t xml:space="preserve">Une nouvelle nomenclature sera </w:t>
      </w:r>
      <w:r w:rsidR="000B65A5" w:rsidRPr="00D06400">
        <w:rPr>
          <w:i/>
          <w:color w:val="ED7D31" w:themeColor="accent2"/>
          <w:sz w:val="24"/>
        </w:rPr>
        <w:t>créée</w:t>
      </w:r>
      <w:r w:rsidRPr="00D06400">
        <w:rPr>
          <w:i/>
          <w:color w:val="ED7D31" w:themeColor="accent2"/>
          <w:sz w:val="24"/>
        </w:rPr>
        <w:t xml:space="preserve"> pour les s</w:t>
      </w:r>
      <w:r w:rsidR="00003564" w:rsidRPr="00D06400">
        <w:rPr>
          <w:i/>
          <w:color w:val="ED7D31" w:themeColor="accent2"/>
          <w:sz w:val="24"/>
        </w:rPr>
        <w:t>ous-Jacents</w:t>
      </w:r>
      <w:r w:rsidR="000B65A5" w:rsidRPr="00D06400">
        <w:rPr>
          <w:i/>
          <w:color w:val="ED7D31" w:themeColor="accent2"/>
          <w:sz w:val="24"/>
        </w:rPr>
        <w:t>.</w:t>
      </w:r>
      <w:r w:rsidR="000B65A5" w:rsidRPr="00811DC9">
        <w:rPr>
          <w:color w:val="ED7D31" w:themeColor="accent2"/>
        </w:rPr>
        <w:t xml:space="preserve"> </w:t>
      </w:r>
      <w:r w:rsidR="000B65A5" w:rsidRPr="00811DC9">
        <w:t>L</w:t>
      </w:r>
      <w:r w:rsidR="00090676" w:rsidRPr="00811DC9">
        <w:t>es types de sous-jacents seraient </w:t>
      </w:r>
      <w:r w:rsidR="00343C6D" w:rsidRPr="00811DC9">
        <w:t>les suivants</w:t>
      </w:r>
      <w:r w:rsidR="00090676" w:rsidRPr="00811DC9">
        <w:t>:</w:t>
      </w:r>
      <w:r w:rsidRPr="00811DC9">
        <w:t xml:space="preserve"> </w:t>
      </w:r>
      <w:r w:rsidR="000B65A5" w:rsidRPr="00811DC9">
        <w:t>t</w:t>
      </w:r>
      <w:r w:rsidR="00090676" w:rsidRPr="00811DC9">
        <w:t>aux</w:t>
      </w:r>
      <w:r w:rsidRPr="00811DC9">
        <w:t>;</w:t>
      </w:r>
      <w:r w:rsidR="000B65A5" w:rsidRPr="00811DC9">
        <w:t xml:space="preserve"> a</w:t>
      </w:r>
      <w:r w:rsidR="00090676" w:rsidRPr="00811DC9">
        <w:t>ctions</w:t>
      </w:r>
      <w:r w:rsidRPr="00811DC9">
        <w:t>;</w:t>
      </w:r>
      <w:r w:rsidR="000B65A5" w:rsidRPr="00811DC9">
        <w:t xml:space="preserve"> </w:t>
      </w:r>
      <w:r w:rsidR="00090676" w:rsidRPr="00811DC9">
        <w:t>indice</w:t>
      </w:r>
      <w:r w:rsidRPr="00811DC9">
        <w:t>;</w:t>
      </w:r>
      <w:r w:rsidR="00386FF4" w:rsidRPr="00811DC9">
        <w:t xml:space="preserve"> </w:t>
      </w:r>
      <w:r w:rsidR="000B65A5" w:rsidRPr="00811DC9">
        <w:t>c</w:t>
      </w:r>
      <w:r w:rsidR="00090676" w:rsidRPr="00811DC9">
        <w:t>rédit</w:t>
      </w:r>
      <w:r w:rsidRPr="00811DC9">
        <w:t>;</w:t>
      </w:r>
      <w:r w:rsidR="00E6208D" w:rsidRPr="00811DC9">
        <w:t xml:space="preserve"> </w:t>
      </w:r>
      <w:r w:rsidR="000B65A5" w:rsidRPr="00811DC9">
        <w:t>o</w:t>
      </w:r>
      <w:r w:rsidR="00090676" w:rsidRPr="00811DC9">
        <w:t>r</w:t>
      </w:r>
      <w:r w:rsidRPr="00811DC9">
        <w:t>;</w:t>
      </w:r>
      <w:r w:rsidR="006117D5" w:rsidRPr="00811DC9">
        <w:t xml:space="preserve"> </w:t>
      </w:r>
      <w:r w:rsidR="00090676" w:rsidRPr="00811DC9">
        <w:t>change</w:t>
      </w:r>
      <w:r w:rsidRPr="00811DC9">
        <w:t> ;</w:t>
      </w:r>
      <w:r w:rsidR="0014141C">
        <w:t xml:space="preserve"> </w:t>
      </w:r>
      <w:r w:rsidR="00090676" w:rsidRPr="00811DC9">
        <w:t>Matière première</w:t>
      </w:r>
      <w:r w:rsidRPr="00811DC9">
        <w:t>;</w:t>
      </w:r>
      <w:r w:rsidR="00385EB3">
        <w:t xml:space="preserve"> </w:t>
      </w:r>
      <w:r w:rsidR="006117D5" w:rsidRPr="00811DC9">
        <w:t>Mixtes;</w:t>
      </w:r>
      <w:r w:rsidR="00385EB3">
        <w:t xml:space="preserve"> </w:t>
      </w:r>
      <w:r w:rsidR="00090676" w:rsidRPr="00811DC9">
        <w:t>Autre</w:t>
      </w:r>
      <w:r w:rsidR="000B65A5" w:rsidRPr="00811DC9">
        <w:t>s</w:t>
      </w:r>
      <w:r w:rsidRPr="00811DC9">
        <w:t>; Néant (</w:t>
      </w:r>
      <w:r w:rsidR="006117D5" w:rsidRPr="00811DC9">
        <w:t>pour tout titre hors produits financiers dérivés</w:t>
      </w:r>
      <w:r w:rsidR="000B65A5" w:rsidRPr="00811DC9">
        <w:t>)</w:t>
      </w:r>
    </w:p>
    <w:p w14:paraId="430AE751" w14:textId="4CA37C69" w:rsidR="00090676" w:rsidRPr="00D06400" w:rsidRDefault="00343C6D" w:rsidP="00112C99">
      <w:pPr>
        <w:pStyle w:val="Paragraphedeliste"/>
        <w:numPr>
          <w:ilvl w:val="0"/>
          <w:numId w:val="15"/>
        </w:numPr>
        <w:rPr>
          <w:color w:val="ED7D31" w:themeColor="accent2"/>
          <w:sz w:val="24"/>
        </w:rPr>
      </w:pPr>
      <w:r w:rsidRPr="00D06400">
        <w:rPr>
          <w:color w:val="ED7D31" w:themeColor="accent2"/>
          <w:sz w:val="24"/>
        </w:rPr>
        <w:t>La variable quotité serait à fournir</w:t>
      </w:r>
    </w:p>
    <w:p w14:paraId="3BC90450" w14:textId="6CE794AD" w:rsidR="00C52570" w:rsidRPr="00811DC9" w:rsidRDefault="00C52570" w:rsidP="00C52570">
      <w:pPr>
        <w:ind w:left="360"/>
        <w:rPr>
          <w:i/>
          <w:color w:val="1F4E79" w:themeColor="accent1" w:themeShade="80"/>
        </w:rPr>
      </w:pPr>
      <w:r w:rsidRPr="00811DC9">
        <w:rPr>
          <w:b/>
          <w:color w:val="44546A" w:themeColor="text2"/>
        </w:rPr>
        <w:t>Retour des discussions en atelier :</w:t>
      </w:r>
      <w:r w:rsidRPr="00811DC9">
        <w:rPr>
          <w:color w:val="44546A" w:themeColor="text2"/>
        </w:rPr>
        <w:t> </w:t>
      </w:r>
      <w:r w:rsidRPr="00811DC9">
        <w:rPr>
          <w:i/>
          <w:color w:val="1F4E79" w:themeColor="accent1" w:themeShade="80"/>
        </w:rPr>
        <w:t>la profession nous confirme la possibilité de déclarer l’instrument</w:t>
      </w:r>
      <w:r w:rsidR="00F74E05" w:rsidRPr="00811DC9">
        <w:rPr>
          <w:i/>
          <w:color w:val="1F4E79" w:themeColor="accent1" w:themeShade="80"/>
        </w:rPr>
        <w:t xml:space="preserve"> </w:t>
      </w:r>
      <w:r w:rsidRPr="00811DC9">
        <w:rPr>
          <w:i/>
          <w:color w:val="1F4E79" w:themeColor="accent1" w:themeShade="80"/>
        </w:rPr>
        <w:t>et le sous-jacent.</w:t>
      </w:r>
    </w:p>
    <w:p w14:paraId="32264497" w14:textId="5D934622" w:rsidR="00C52570" w:rsidRPr="00D06400" w:rsidRDefault="00C52570" w:rsidP="00C52570">
      <w:pPr>
        <w:pStyle w:val="Paragraphedeliste"/>
        <w:numPr>
          <w:ilvl w:val="0"/>
          <w:numId w:val="15"/>
        </w:numPr>
        <w:rPr>
          <w:color w:val="ED7D31" w:themeColor="accent2"/>
          <w:sz w:val="24"/>
        </w:rPr>
      </w:pPr>
      <w:r w:rsidRPr="00D06400">
        <w:rPr>
          <w:color w:val="ED7D31" w:themeColor="accent2"/>
          <w:sz w:val="24"/>
        </w:rPr>
        <w:t>Information</w:t>
      </w:r>
      <w:r w:rsidR="00BD737E" w:rsidRPr="00D06400">
        <w:rPr>
          <w:color w:val="ED7D31" w:themeColor="accent2"/>
          <w:sz w:val="24"/>
        </w:rPr>
        <w:t xml:space="preserve"> supplémentaire</w:t>
      </w:r>
      <w:r w:rsidRPr="00D06400">
        <w:rPr>
          <w:color w:val="ED7D31" w:themeColor="accent2"/>
          <w:sz w:val="24"/>
        </w:rPr>
        <w:t xml:space="preserve"> sur le </w:t>
      </w:r>
      <w:r w:rsidR="00853FA5">
        <w:rPr>
          <w:color w:val="ED7D31" w:themeColor="accent2"/>
          <w:sz w:val="24"/>
        </w:rPr>
        <w:t>type de</w:t>
      </w:r>
      <w:r w:rsidRPr="00D06400">
        <w:rPr>
          <w:color w:val="ED7D31" w:themeColor="accent2"/>
          <w:sz w:val="24"/>
        </w:rPr>
        <w:t xml:space="preserve"> contrat </w:t>
      </w:r>
      <w:r w:rsidR="00853FA5">
        <w:rPr>
          <w:color w:val="ED7D31" w:themeColor="accent2"/>
          <w:sz w:val="24"/>
        </w:rPr>
        <w:t>(</w:t>
      </w:r>
      <w:r w:rsidRPr="00D06400">
        <w:rPr>
          <w:color w:val="ED7D31" w:themeColor="accent2"/>
          <w:sz w:val="24"/>
        </w:rPr>
        <w:t>couverture ou exposition</w:t>
      </w:r>
      <w:r w:rsidR="00853FA5">
        <w:rPr>
          <w:color w:val="ED7D31" w:themeColor="accent2"/>
          <w:sz w:val="24"/>
        </w:rPr>
        <w:t>)</w:t>
      </w:r>
    </w:p>
    <w:p w14:paraId="1C8D769B" w14:textId="18A33999" w:rsidR="00C52570" w:rsidRPr="00811DC9" w:rsidRDefault="00C52570" w:rsidP="00C52570">
      <w:pPr>
        <w:ind w:left="360"/>
        <w:rPr>
          <w:i/>
          <w:color w:val="1F4E79" w:themeColor="accent1" w:themeShade="80"/>
        </w:rPr>
      </w:pPr>
      <w:r w:rsidRPr="00811DC9">
        <w:rPr>
          <w:b/>
          <w:color w:val="44546A" w:themeColor="text2"/>
        </w:rPr>
        <w:t>Retour des discussions en atelier :</w:t>
      </w:r>
      <w:r w:rsidRPr="00811DC9">
        <w:rPr>
          <w:color w:val="44546A" w:themeColor="text2"/>
        </w:rPr>
        <w:t> </w:t>
      </w:r>
      <w:r w:rsidR="006117D5" w:rsidRPr="00811DC9">
        <w:rPr>
          <w:i/>
          <w:color w:val="1F4E79" w:themeColor="accent1" w:themeShade="80"/>
        </w:rPr>
        <w:t>la profession nous signale la difficulté de cette répartition pour 2 raisons : certains contrats peuvent être initialement conclus dans un but de couverture</w:t>
      </w:r>
      <w:r w:rsidR="00853FA5">
        <w:rPr>
          <w:i/>
          <w:color w:val="1F4E79" w:themeColor="accent1" w:themeShade="80"/>
        </w:rPr>
        <w:t>,</w:t>
      </w:r>
      <w:r w:rsidR="006117D5" w:rsidRPr="00811DC9">
        <w:rPr>
          <w:i/>
          <w:color w:val="1F4E79" w:themeColor="accent1" w:themeShade="80"/>
        </w:rPr>
        <w:t xml:space="preserve"> </w:t>
      </w:r>
      <w:r w:rsidR="00DA38EE">
        <w:rPr>
          <w:i/>
          <w:color w:val="1F4E79" w:themeColor="accent1" w:themeShade="80"/>
        </w:rPr>
        <w:t>ils</w:t>
      </w:r>
      <w:r w:rsidR="00DA38EE" w:rsidRPr="00811DC9">
        <w:rPr>
          <w:i/>
          <w:color w:val="1F4E79" w:themeColor="accent1" w:themeShade="80"/>
        </w:rPr>
        <w:t xml:space="preserve"> </w:t>
      </w:r>
      <w:r w:rsidR="006117D5" w:rsidRPr="00811DC9">
        <w:rPr>
          <w:i/>
          <w:color w:val="1F4E79" w:themeColor="accent1" w:themeShade="80"/>
        </w:rPr>
        <w:t>devien</w:t>
      </w:r>
      <w:r w:rsidR="00DA38EE">
        <w:rPr>
          <w:i/>
          <w:color w:val="1F4E79" w:themeColor="accent1" w:themeShade="80"/>
        </w:rPr>
        <w:t>nent</w:t>
      </w:r>
      <w:r w:rsidR="006117D5" w:rsidRPr="00811DC9">
        <w:rPr>
          <w:i/>
          <w:color w:val="1F4E79" w:themeColor="accent1" w:themeShade="80"/>
        </w:rPr>
        <w:t xml:space="preserve"> caduc</w:t>
      </w:r>
      <w:r w:rsidR="00DA38EE">
        <w:rPr>
          <w:i/>
          <w:color w:val="1F4E79" w:themeColor="accent1" w:themeShade="80"/>
        </w:rPr>
        <w:t>s</w:t>
      </w:r>
      <w:r w:rsidR="006117D5" w:rsidRPr="00811DC9">
        <w:rPr>
          <w:i/>
          <w:color w:val="1F4E79" w:themeColor="accent1" w:themeShade="80"/>
        </w:rPr>
        <w:t xml:space="preserve"> avec la cession des actifs sous-jacents. Par ailleurs, les </w:t>
      </w:r>
      <w:r w:rsidR="00DA38EE" w:rsidRPr="00811DC9">
        <w:rPr>
          <w:i/>
          <w:color w:val="1F4E79" w:themeColor="accent1" w:themeShade="80"/>
        </w:rPr>
        <w:t>positio</w:t>
      </w:r>
      <w:r w:rsidR="00DA38EE">
        <w:rPr>
          <w:i/>
          <w:color w:val="1F4E79" w:themeColor="accent1" w:themeShade="80"/>
        </w:rPr>
        <w:t>ns</w:t>
      </w:r>
      <w:r w:rsidR="00DA38EE" w:rsidRPr="00811DC9">
        <w:rPr>
          <w:i/>
          <w:color w:val="1F4E79" w:themeColor="accent1" w:themeShade="80"/>
        </w:rPr>
        <w:t xml:space="preserve"> </w:t>
      </w:r>
      <w:r w:rsidR="006117D5" w:rsidRPr="00811DC9">
        <w:rPr>
          <w:i/>
          <w:color w:val="1F4E79" w:themeColor="accent1" w:themeShade="80"/>
        </w:rPr>
        <w:t xml:space="preserve">sont très volatiles et l’information à un instant donné (fin de mois) a donc peu de sens. De plus cette répartition </w:t>
      </w:r>
      <w:r w:rsidR="00DA38EE">
        <w:rPr>
          <w:i/>
          <w:color w:val="1F4E79" w:themeColor="accent1" w:themeShade="80"/>
        </w:rPr>
        <w:t xml:space="preserve">actuellement </w:t>
      </w:r>
      <w:r w:rsidR="006117D5" w:rsidRPr="00811DC9">
        <w:rPr>
          <w:i/>
          <w:color w:val="1F4E79" w:themeColor="accent1" w:themeShade="80"/>
        </w:rPr>
        <w:t>disponible dans le compte de résultat annuel devrait bientôt être abandonnée par l’ANC</w:t>
      </w:r>
      <w:r w:rsidRPr="00811DC9">
        <w:rPr>
          <w:i/>
          <w:color w:val="1F4E79" w:themeColor="accent1" w:themeShade="80"/>
        </w:rPr>
        <w:t xml:space="preserve">. </w:t>
      </w:r>
    </w:p>
    <w:p w14:paraId="36E8AB80" w14:textId="77777777" w:rsidR="00C52570" w:rsidRDefault="00C52570" w:rsidP="00C52570">
      <w:pPr>
        <w:ind w:left="360"/>
      </w:pPr>
    </w:p>
    <w:p w14:paraId="4D9C15A9" w14:textId="393DBC95" w:rsidR="000135A2" w:rsidRPr="00F55904" w:rsidRDefault="000135A2" w:rsidP="00F55904">
      <w:pPr>
        <w:pStyle w:val="Paragraphedeliste"/>
        <w:numPr>
          <w:ilvl w:val="0"/>
          <w:numId w:val="7"/>
        </w:numPr>
        <w:rPr>
          <w:i/>
          <w:sz w:val="28"/>
        </w:rPr>
      </w:pPr>
      <w:r w:rsidRPr="00F55904">
        <w:rPr>
          <w:i/>
          <w:sz w:val="28"/>
        </w:rPr>
        <w:t>Nouvelles informations complémentaire</w:t>
      </w:r>
      <w:r w:rsidR="000B65A5" w:rsidRPr="00F55904">
        <w:rPr>
          <w:i/>
          <w:sz w:val="28"/>
        </w:rPr>
        <w:t>s</w:t>
      </w:r>
      <w:r w:rsidR="00BD737E" w:rsidRPr="00F55904">
        <w:rPr>
          <w:i/>
          <w:sz w:val="28"/>
        </w:rPr>
        <w:t xml:space="preserve"> sur les part</w:t>
      </w:r>
      <w:r w:rsidR="00E6208D" w:rsidRPr="00F55904">
        <w:rPr>
          <w:i/>
          <w:sz w:val="28"/>
        </w:rPr>
        <w:t>s</w:t>
      </w:r>
    </w:p>
    <w:p w14:paraId="2E434757" w14:textId="1B87C012" w:rsidR="00436FB8" w:rsidRPr="00D06400" w:rsidRDefault="00436FB8" w:rsidP="003C34C2">
      <w:r w:rsidRPr="00D06400">
        <w:t xml:space="preserve">Actuellement la collecte se base sur le produit du fonds. Dans le cas de fonds multi parts, la BDF n’a pas </w:t>
      </w:r>
      <w:r w:rsidR="006117D5" w:rsidRPr="00D06400">
        <w:t>d’</w:t>
      </w:r>
      <w:r w:rsidR="00811DC9" w:rsidRPr="00D06400">
        <w:t>information</w:t>
      </w:r>
      <w:r w:rsidRPr="00D06400">
        <w:t xml:space="preserve"> sur la ventilation de l’actif net du produit. Il est envisagé de demander une collecte par parts portant sur :</w:t>
      </w:r>
    </w:p>
    <w:p w14:paraId="5C905CF7" w14:textId="2C547963" w:rsidR="00436FB8" w:rsidRPr="00D06400" w:rsidRDefault="00BD737E" w:rsidP="003C580C">
      <w:pPr>
        <w:spacing w:after="0"/>
        <w:rPr>
          <w:color w:val="ED7D31" w:themeColor="accent2"/>
          <w:sz w:val="24"/>
          <w:szCs w:val="24"/>
        </w:rPr>
      </w:pPr>
      <w:r w:rsidRPr="00D06400">
        <w:rPr>
          <w:color w:val="ED7D31" w:themeColor="accent2"/>
          <w:sz w:val="24"/>
          <w:szCs w:val="24"/>
        </w:rPr>
        <w:t>-</w:t>
      </w:r>
      <w:r w:rsidR="00436FB8" w:rsidRPr="00D06400">
        <w:rPr>
          <w:color w:val="ED7D31" w:themeColor="accent2"/>
          <w:sz w:val="24"/>
          <w:szCs w:val="24"/>
        </w:rPr>
        <w:t>Le nombre de parts</w:t>
      </w:r>
    </w:p>
    <w:p w14:paraId="4CC5FC57" w14:textId="40562C71" w:rsidR="00436FB8" w:rsidRPr="00D06400" w:rsidRDefault="00BD737E" w:rsidP="003C580C">
      <w:pPr>
        <w:spacing w:after="0"/>
        <w:rPr>
          <w:color w:val="ED7D31" w:themeColor="accent2"/>
          <w:sz w:val="24"/>
          <w:szCs w:val="24"/>
        </w:rPr>
      </w:pPr>
      <w:r w:rsidRPr="00D06400">
        <w:rPr>
          <w:sz w:val="24"/>
          <w:szCs w:val="24"/>
        </w:rPr>
        <w:t>-</w:t>
      </w:r>
      <w:r w:rsidR="00436FB8" w:rsidRPr="00D06400">
        <w:rPr>
          <w:color w:val="ED7D31" w:themeColor="accent2"/>
          <w:sz w:val="24"/>
          <w:szCs w:val="24"/>
        </w:rPr>
        <w:t>La valeur liquidative de la part</w:t>
      </w:r>
    </w:p>
    <w:p w14:paraId="44F3B89A" w14:textId="77777777" w:rsidR="003C580C" w:rsidRPr="003C580C" w:rsidRDefault="003C580C" w:rsidP="003C580C">
      <w:pPr>
        <w:spacing w:after="0"/>
        <w:rPr>
          <w:sz w:val="20"/>
        </w:rPr>
      </w:pPr>
    </w:p>
    <w:p w14:paraId="5BED314D" w14:textId="1DCBDDB8" w:rsidR="00BD737E" w:rsidRPr="004E7FED" w:rsidRDefault="00BD737E" w:rsidP="00BD737E">
      <w:pPr>
        <w:rPr>
          <w:color w:val="44546A" w:themeColor="text2"/>
        </w:rPr>
      </w:pPr>
      <w:r w:rsidRPr="004E7FED">
        <w:rPr>
          <w:b/>
          <w:color w:val="44546A" w:themeColor="text2"/>
        </w:rPr>
        <w:t>Retour des discussions en atelier :</w:t>
      </w:r>
      <w:r w:rsidRPr="004E7FED">
        <w:rPr>
          <w:color w:val="44546A" w:themeColor="text2"/>
        </w:rPr>
        <w:t xml:space="preserve"> </w:t>
      </w:r>
      <w:r w:rsidRPr="004E7FED">
        <w:rPr>
          <w:i/>
          <w:color w:val="1F4E79" w:themeColor="accent1" w:themeShade="80"/>
        </w:rPr>
        <w:t xml:space="preserve">la profession nous confirme </w:t>
      </w:r>
      <w:r w:rsidR="00DA38EE">
        <w:rPr>
          <w:i/>
          <w:color w:val="1F4E79" w:themeColor="accent1" w:themeShade="80"/>
        </w:rPr>
        <w:t>la disponibilité de cette information</w:t>
      </w:r>
    </w:p>
    <w:p w14:paraId="1559A97E" w14:textId="77777777" w:rsidR="001142E6" w:rsidRPr="00D06400" w:rsidRDefault="00BD737E" w:rsidP="003C580C">
      <w:pPr>
        <w:spacing w:after="0"/>
        <w:rPr>
          <w:color w:val="ED7D31" w:themeColor="accent2"/>
          <w:sz w:val="24"/>
          <w:szCs w:val="24"/>
        </w:rPr>
      </w:pPr>
      <w:r w:rsidRPr="00D06400">
        <w:rPr>
          <w:color w:val="ED7D31" w:themeColor="accent2"/>
          <w:sz w:val="24"/>
          <w:szCs w:val="24"/>
        </w:rPr>
        <w:t>-souscriptions/rachats</w:t>
      </w:r>
    </w:p>
    <w:p w14:paraId="1F629E09" w14:textId="06FF807B" w:rsidR="00BD737E" w:rsidRPr="00D06400" w:rsidRDefault="001142E6" w:rsidP="003C580C">
      <w:pPr>
        <w:spacing w:after="0"/>
        <w:rPr>
          <w:color w:val="ED7D31" w:themeColor="accent2"/>
          <w:sz w:val="24"/>
          <w:szCs w:val="24"/>
        </w:rPr>
      </w:pPr>
      <w:r w:rsidRPr="00D06400">
        <w:rPr>
          <w:color w:val="ED7D31" w:themeColor="accent2"/>
          <w:sz w:val="24"/>
          <w:szCs w:val="24"/>
        </w:rPr>
        <w:t>-dividende</w:t>
      </w:r>
    </w:p>
    <w:p w14:paraId="0E5DBCE3" w14:textId="56B133A0" w:rsidR="006760E6" w:rsidRPr="00D06400" w:rsidRDefault="00BD737E" w:rsidP="003C580C">
      <w:pPr>
        <w:spacing w:after="0"/>
        <w:rPr>
          <w:color w:val="ED7D31" w:themeColor="accent2"/>
          <w:sz w:val="24"/>
          <w:szCs w:val="24"/>
        </w:rPr>
      </w:pPr>
      <w:r w:rsidRPr="00D06400">
        <w:rPr>
          <w:color w:val="ED7D31" w:themeColor="accent2"/>
          <w:sz w:val="24"/>
          <w:szCs w:val="24"/>
        </w:rPr>
        <w:t>-</w:t>
      </w:r>
      <w:r w:rsidR="006760E6" w:rsidRPr="00D06400">
        <w:rPr>
          <w:color w:val="ED7D31" w:themeColor="accent2"/>
          <w:sz w:val="24"/>
          <w:szCs w:val="24"/>
        </w:rPr>
        <w:t xml:space="preserve">capital souscrit </w:t>
      </w:r>
      <w:r w:rsidR="003C580C" w:rsidRPr="00D06400">
        <w:rPr>
          <w:color w:val="ED7D31" w:themeColor="accent2"/>
          <w:sz w:val="24"/>
          <w:szCs w:val="24"/>
        </w:rPr>
        <w:t xml:space="preserve">et </w:t>
      </w:r>
      <w:r w:rsidR="006760E6" w:rsidRPr="00D06400">
        <w:rPr>
          <w:color w:val="ED7D31" w:themeColor="accent2"/>
          <w:sz w:val="24"/>
          <w:szCs w:val="24"/>
        </w:rPr>
        <w:t xml:space="preserve">appelé </w:t>
      </w:r>
    </w:p>
    <w:p w14:paraId="08AAB169" w14:textId="77777777" w:rsidR="003C580C" w:rsidRPr="003C580C" w:rsidRDefault="003C580C" w:rsidP="003C580C">
      <w:pPr>
        <w:spacing w:after="0"/>
        <w:rPr>
          <w:color w:val="ED7D31" w:themeColor="accent2"/>
        </w:rPr>
      </w:pPr>
    </w:p>
    <w:p w14:paraId="084B3550" w14:textId="50A70969" w:rsidR="006760E6" w:rsidRPr="007F5325" w:rsidRDefault="00C52570" w:rsidP="003C34C2">
      <w:pPr>
        <w:rPr>
          <w:i/>
          <w:color w:val="1F4E79" w:themeColor="accent1" w:themeShade="80"/>
        </w:rPr>
      </w:pPr>
      <w:r w:rsidRPr="00D06400">
        <w:rPr>
          <w:b/>
          <w:color w:val="44546A" w:themeColor="text2"/>
        </w:rPr>
        <w:t>Suite aux discussions en atelier :</w:t>
      </w:r>
      <w:r w:rsidRPr="00D06400">
        <w:rPr>
          <w:color w:val="44546A" w:themeColor="text2"/>
        </w:rPr>
        <w:t xml:space="preserve"> </w:t>
      </w:r>
      <w:r w:rsidR="00386FF4" w:rsidRPr="00D06400">
        <w:rPr>
          <w:i/>
          <w:color w:val="1F4E79" w:themeColor="accent1" w:themeShade="80"/>
        </w:rPr>
        <w:t>aujourd’hui</w:t>
      </w:r>
      <w:r w:rsidR="00BD737E" w:rsidRPr="00D06400">
        <w:rPr>
          <w:i/>
          <w:color w:val="1F4E79" w:themeColor="accent1" w:themeShade="80"/>
        </w:rPr>
        <w:t xml:space="preserve"> les données sont demandées en flux (différentiel entre 2 dernières déclaration</w:t>
      </w:r>
      <w:r w:rsidR="00DA38EE">
        <w:rPr>
          <w:i/>
          <w:color w:val="1F4E79" w:themeColor="accent1" w:themeShade="80"/>
        </w:rPr>
        <w:t>s</w:t>
      </w:r>
      <w:r w:rsidR="00BD737E" w:rsidRPr="00D06400">
        <w:rPr>
          <w:i/>
          <w:color w:val="1F4E79" w:themeColor="accent1" w:themeShade="80"/>
        </w:rPr>
        <w:t>)</w:t>
      </w:r>
      <w:r w:rsidR="003C580C" w:rsidRPr="00D06400">
        <w:rPr>
          <w:i/>
          <w:color w:val="1F4E79" w:themeColor="accent1" w:themeShade="80"/>
        </w:rPr>
        <w:t xml:space="preserve"> mais certains remettants ont des difficultés avec cette méthode. </w:t>
      </w:r>
      <w:r w:rsidR="00F74E05" w:rsidRPr="00D06400">
        <w:rPr>
          <w:i/>
          <w:color w:val="1F4E79" w:themeColor="accent1" w:themeShade="80"/>
        </w:rPr>
        <w:t>I</w:t>
      </w:r>
      <w:r w:rsidR="006760E6" w:rsidRPr="00D06400">
        <w:rPr>
          <w:i/>
          <w:color w:val="1F4E79" w:themeColor="accent1" w:themeShade="80"/>
        </w:rPr>
        <w:t xml:space="preserve">l est proposé </w:t>
      </w:r>
      <w:r w:rsidR="00BD737E" w:rsidRPr="00D06400">
        <w:rPr>
          <w:i/>
          <w:color w:val="1F4E79" w:themeColor="accent1" w:themeShade="80"/>
        </w:rPr>
        <w:t>qu’elles</w:t>
      </w:r>
      <w:r w:rsidR="006760E6" w:rsidRPr="00D06400">
        <w:rPr>
          <w:i/>
          <w:color w:val="1F4E79" w:themeColor="accent1" w:themeShade="80"/>
        </w:rPr>
        <w:t xml:space="preserve"> soient désormais fourni</w:t>
      </w:r>
      <w:r w:rsidR="00CC4258" w:rsidRPr="00D06400">
        <w:rPr>
          <w:i/>
          <w:color w:val="1F4E79" w:themeColor="accent1" w:themeShade="80"/>
        </w:rPr>
        <w:t>e</w:t>
      </w:r>
      <w:r w:rsidR="006760E6" w:rsidRPr="00D06400">
        <w:rPr>
          <w:i/>
          <w:color w:val="1F4E79" w:themeColor="accent1" w:themeShade="80"/>
        </w:rPr>
        <w:t>s en stock, à charge p</w:t>
      </w:r>
      <w:r w:rsidR="00CC4258" w:rsidRPr="00D06400">
        <w:rPr>
          <w:i/>
          <w:color w:val="1F4E79" w:themeColor="accent1" w:themeShade="80"/>
        </w:rPr>
        <w:t>our la BDF de calculer les flux</w:t>
      </w:r>
      <w:r w:rsidR="003C580C" w:rsidRPr="00D06400">
        <w:rPr>
          <w:i/>
          <w:color w:val="1F4E79" w:themeColor="accent1" w:themeShade="80"/>
        </w:rPr>
        <w:t>.</w:t>
      </w:r>
    </w:p>
    <w:p w14:paraId="3EA775E4" w14:textId="16154894" w:rsidR="00F17B2A" w:rsidRPr="00ED5909" w:rsidRDefault="007F5325" w:rsidP="00F17B2A">
      <w:pPr>
        <w:pBdr>
          <w:top w:val="single" w:sz="4" w:space="1" w:color="auto"/>
          <w:left w:val="single" w:sz="4" w:space="4" w:color="auto"/>
          <w:bottom w:val="single" w:sz="4" w:space="1" w:color="auto"/>
          <w:right w:val="single" w:sz="4" w:space="4" w:color="auto"/>
        </w:pBdr>
        <w:spacing w:after="0"/>
        <w:rPr>
          <w:b/>
          <w:color w:val="00B050"/>
        </w:rPr>
      </w:pPr>
      <w:r>
        <w:rPr>
          <w:b/>
          <w:color w:val="00B050"/>
        </w:rPr>
        <w:lastRenderedPageBreak/>
        <w:t>R</w:t>
      </w:r>
      <w:r w:rsidR="001B2517" w:rsidRPr="00E954F5">
        <w:rPr>
          <w:b/>
          <w:color w:val="00B050"/>
        </w:rPr>
        <w:t>éponse dans la réunion de conclusion des ateliers :</w:t>
      </w:r>
      <w:r w:rsidR="001B2517">
        <w:rPr>
          <w:b/>
          <w:color w:val="00B050"/>
        </w:rPr>
        <w:t xml:space="preserve"> </w:t>
      </w:r>
      <w:r w:rsidR="009730D4">
        <w:rPr>
          <w:b/>
          <w:color w:val="00B050"/>
        </w:rPr>
        <w:t>L</w:t>
      </w:r>
      <w:r w:rsidR="00527CA7">
        <w:rPr>
          <w:b/>
          <w:color w:val="00B050"/>
        </w:rPr>
        <w:t>a méthode de déclaration en</w:t>
      </w:r>
      <w:r w:rsidR="009730D4">
        <w:rPr>
          <w:b/>
          <w:color w:val="00B050"/>
        </w:rPr>
        <w:t xml:space="preserve"> stock </w:t>
      </w:r>
      <w:r w:rsidR="00527CA7">
        <w:rPr>
          <w:b/>
          <w:color w:val="00B050"/>
        </w:rPr>
        <w:t>pose différents</w:t>
      </w:r>
      <w:r w:rsidR="009730D4">
        <w:rPr>
          <w:b/>
          <w:color w:val="00B050"/>
        </w:rPr>
        <w:t xml:space="preserve"> </w:t>
      </w:r>
      <w:r w:rsidR="00527CA7">
        <w:rPr>
          <w:b/>
          <w:color w:val="00B050"/>
        </w:rPr>
        <w:t>problèmes,</w:t>
      </w:r>
      <w:r w:rsidR="009730D4">
        <w:rPr>
          <w:b/>
          <w:color w:val="00B050"/>
        </w:rPr>
        <w:t xml:space="preserve"> </w:t>
      </w:r>
      <w:r w:rsidR="00527CA7">
        <w:rPr>
          <w:b/>
          <w:color w:val="00B050"/>
        </w:rPr>
        <w:t xml:space="preserve">notamment la gestion </w:t>
      </w:r>
      <w:r w:rsidR="009730D4">
        <w:rPr>
          <w:b/>
          <w:color w:val="00B050"/>
        </w:rPr>
        <w:t xml:space="preserve">des </w:t>
      </w:r>
      <w:r w:rsidR="00527CA7">
        <w:rPr>
          <w:b/>
          <w:color w:val="00B050"/>
        </w:rPr>
        <w:t>clôtures annuelles</w:t>
      </w:r>
      <w:r w:rsidR="009730D4">
        <w:rPr>
          <w:b/>
          <w:color w:val="00B050"/>
        </w:rPr>
        <w:t xml:space="preserve"> décalé</w:t>
      </w:r>
      <w:r w:rsidR="006E202E">
        <w:rPr>
          <w:b/>
          <w:color w:val="00B050"/>
        </w:rPr>
        <w:t>e</w:t>
      </w:r>
      <w:r w:rsidR="009730D4">
        <w:rPr>
          <w:b/>
          <w:color w:val="00B050"/>
        </w:rPr>
        <w:t>s</w:t>
      </w:r>
      <w:r w:rsidR="00527CA7">
        <w:rPr>
          <w:b/>
          <w:color w:val="00B050"/>
        </w:rPr>
        <w:t>. Par souci d’uniformisation de la méthode, l</w:t>
      </w:r>
      <w:r w:rsidR="00031156" w:rsidRPr="00ED5909">
        <w:rPr>
          <w:b/>
          <w:color w:val="00B050"/>
        </w:rPr>
        <w:t xml:space="preserve">es données complémentaires </w:t>
      </w:r>
      <w:r w:rsidR="005474B8" w:rsidRPr="00ED5909">
        <w:rPr>
          <w:b/>
          <w:color w:val="00B050"/>
        </w:rPr>
        <w:t>(</w:t>
      </w:r>
      <w:r w:rsidR="00031156" w:rsidRPr="00ED5909">
        <w:rPr>
          <w:b/>
          <w:color w:val="00B050"/>
        </w:rPr>
        <w:t xml:space="preserve">souscriptions/rachats, dividendes </w:t>
      </w:r>
      <w:r w:rsidR="005474B8" w:rsidRPr="00ED5909">
        <w:rPr>
          <w:b/>
          <w:color w:val="00B050"/>
        </w:rPr>
        <w:t>etc)</w:t>
      </w:r>
      <w:r w:rsidR="00527CA7">
        <w:rPr>
          <w:b/>
          <w:color w:val="00B050"/>
        </w:rPr>
        <w:t xml:space="preserve"> </w:t>
      </w:r>
      <w:r w:rsidR="009730D4" w:rsidRPr="00ED5909">
        <w:rPr>
          <w:b/>
          <w:color w:val="00B050"/>
        </w:rPr>
        <w:t xml:space="preserve">devront dans OPC2 comme aujourd’hui </w:t>
      </w:r>
      <w:r w:rsidR="00031156" w:rsidRPr="00ED5909">
        <w:rPr>
          <w:b/>
          <w:color w:val="00B050"/>
        </w:rPr>
        <w:t>être déclaré</w:t>
      </w:r>
      <w:r w:rsidR="00F17B2A" w:rsidRPr="00ED5909">
        <w:rPr>
          <w:b/>
          <w:color w:val="00B050"/>
        </w:rPr>
        <w:t>es</w:t>
      </w:r>
      <w:r w:rsidR="00031156" w:rsidRPr="00ED5909">
        <w:rPr>
          <w:b/>
          <w:color w:val="00B050"/>
        </w:rPr>
        <w:t xml:space="preserve"> </w:t>
      </w:r>
      <w:r w:rsidR="00031156" w:rsidRPr="00ED5909">
        <w:rPr>
          <w:b/>
          <w:color w:val="00B050"/>
          <w:u w:val="single"/>
        </w:rPr>
        <w:t>en flux</w:t>
      </w:r>
      <w:r w:rsidR="009730D4" w:rsidRPr="00ED5909">
        <w:rPr>
          <w:b/>
          <w:color w:val="00B050"/>
          <w:u w:val="single"/>
        </w:rPr>
        <w:t xml:space="preserve"> différentiel entre les 2 dernières déclarations</w:t>
      </w:r>
      <w:r w:rsidR="00031156" w:rsidRPr="00ED5909">
        <w:rPr>
          <w:b/>
          <w:color w:val="00B050"/>
        </w:rPr>
        <w:t xml:space="preserve">. </w:t>
      </w:r>
    </w:p>
    <w:p w14:paraId="4ECEC75D" w14:textId="3D5C12E7" w:rsidR="00ED5C83" w:rsidRPr="00ED5909" w:rsidRDefault="00F17B2A" w:rsidP="00F17B2A">
      <w:pPr>
        <w:pBdr>
          <w:top w:val="single" w:sz="4" w:space="1" w:color="auto"/>
          <w:left w:val="single" w:sz="4" w:space="4" w:color="auto"/>
          <w:bottom w:val="single" w:sz="4" w:space="1" w:color="auto"/>
          <w:right w:val="single" w:sz="4" w:space="4" w:color="auto"/>
        </w:pBdr>
        <w:spacing w:after="0"/>
        <w:rPr>
          <w:b/>
          <w:color w:val="00B050"/>
        </w:rPr>
      </w:pPr>
      <w:r w:rsidRPr="00ED5909">
        <w:rPr>
          <w:b/>
          <w:color w:val="00B050"/>
        </w:rPr>
        <w:t>P</w:t>
      </w:r>
      <w:r w:rsidR="00CE4A61" w:rsidRPr="00ED5909">
        <w:rPr>
          <w:b/>
          <w:color w:val="00B050"/>
        </w:rPr>
        <w:t xml:space="preserve">ar exemple </w:t>
      </w:r>
      <w:r w:rsidRPr="00ED5909">
        <w:rPr>
          <w:b/>
          <w:color w:val="00B050"/>
        </w:rPr>
        <w:t xml:space="preserve">pour les </w:t>
      </w:r>
      <w:r w:rsidR="00CE4A61" w:rsidRPr="00ED5909">
        <w:rPr>
          <w:b/>
          <w:color w:val="00B050"/>
        </w:rPr>
        <w:t>souscriptions</w:t>
      </w:r>
      <w:r w:rsidRPr="00ED5909">
        <w:rPr>
          <w:b/>
          <w:color w:val="00B050"/>
        </w:rPr>
        <w:t> :</w:t>
      </w:r>
    </w:p>
    <w:p w14:paraId="3D7680D9" w14:textId="721008B3" w:rsidR="00CE4A61" w:rsidRPr="00ED5909" w:rsidRDefault="00CE4A61" w:rsidP="00CE4A61">
      <w:pPr>
        <w:pBdr>
          <w:top w:val="single" w:sz="4" w:space="1" w:color="auto"/>
          <w:left w:val="single" w:sz="4" w:space="4" w:color="auto"/>
          <w:bottom w:val="single" w:sz="4" w:space="1" w:color="auto"/>
          <w:right w:val="single" w:sz="4" w:space="4" w:color="auto"/>
        </w:pBdr>
        <w:spacing w:after="0"/>
        <w:rPr>
          <w:b/>
          <w:color w:val="00B050"/>
        </w:rPr>
      </w:pPr>
      <w:r w:rsidRPr="00ED5909">
        <w:rPr>
          <w:b/>
          <w:color w:val="00B050"/>
        </w:rPr>
        <w:t>-</w:t>
      </w:r>
      <w:r w:rsidRPr="00ED5909">
        <w:rPr>
          <w:b/>
          <w:color w:val="00B050"/>
        </w:rPr>
        <w:tab/>
        <w:t>pour les</w:t>
      </w:r>
      <w:r w:rsidR="005474B8" w:rsidRPr="00ED5909">
        <w:rPr>
          <w:b/>
          <w:color w:val="00B050"/>
        </w:rPr>
        <w:t xml:space="preserve"> fonds à déclaration mensuelle </w:t>
      </w:r>
      <w:r w:rsidRPr="00ED5909">
        <w:rPr>
          <w:b/>
          <w:color w:val="00B050"/>
        </w:rPr>
        <w:t>échéance mars,</w:t>
      </w:r>
      <w:r w:rsidR="007C41F3" w:rsidRPr="00ED5909">
        <w:rPr>
          <w:b/>
          <w:color w:val="00B050"/>
        </w:rPr>
        <w:t xml:space="preserve"> c’est le total des souscriptions de mars qui doit être fourni,</w:t>
      </w:r>
    </w:p>
    <w:p w14:paraId="653CE7A9" w14:textId="5561566A" w:rsidR="00CE4A61" w:rsidRPr="00ED5909" w:rsidRDefault="00CE4A61" w:rsidP="00CE4A61">
      <w:pPr>
        <w:pBdr>
          <w:top w:val="single" w:sz="4" w:space="1" w:color="auto"/>
          <w:left w:val="single" w:sz="4" w:space="4" w:color="auto"/>
          <w:bottom w:val="single" w:sz="4" w:space="1" w:color="auto"/>
          <w:right w:val="single" w:sz="4" w:space="4" w:color="auto"/>
        </w:pBdr>
        <w:spacing w:after="0"/>
        <w:rPr>
          <w:b/>
          <w:color w:val="00B050"/>
        </w:rPr>
      </w:pPr>
      <w:r w:rsidRPr="00ED5909">
        <w:rPr>
          <w:b/>
          <w:color w:val="00B050"/>
        </w:rPr>
        <w:t>-</w:t>
      </w:r>
      <w:r w:rsidRPr="00ED5909">
        <w:rPr>
          <w:b/>
          <w:color w:val="00B050"/>
        </w:rPr>
        <w:tab/>
        <w:t>pour les fo</w:t>
      </w:r>
      <w:r w:rsidR="005474B8" w:rsidRPr="00ED5909">
        <w:rPr>
          <w:b/>
          <w:color w:val="00B050"/>
        </w:rPr>
        <w:t xml:space="preserve">nds à déclaration trimestrielle </w:t>
      </w:r>
      <w:r w:rsidRPr="00ED5909">
        <w:rPr>
          <w:b/>
          <w:color w:val="00B050"/>
        </w:rPr>
        <w:t>échéance mars</w:t>
      </w:r>
      <w:r w:rsidR="007C41F3" w:rsidRPr="00ED5909">
        <w:rPr>
          <w:b/>
          <w:color w:val="00B050"/>
        </w:rPr>
        <w:t xml:space="preserve"> 2020</w:t>
      </w:r>
      <w:r w:rsidRPr="00ED5909">
        <w:rPr>
          <w:b/>
          <w:color w:val="00B050"/>
        </w:rPr>
        <w:t xml:space="preserve">, </w:t>
      </w:r>
      <w:r w:rsidR="005474B8" w:rsidRPr="00ED5909">
        <w:rPr>
          <w:b/>
          <w:color w:val="00B050"/>
        </w:rPr>
        <w:t>c’est le total des souscriptions de</w:t>
      </w:r>
      <w:r w:rsidR="009730D4" w:rsidRPr="00ED5909">
        <w:rPr>
          <w:b/>
          <w:color w:val="00B050"/>
        </w:rPr>
        <w:t xml:space="preserve"> début</w:t>
      </w:r>
      <w:r w:rsidR="005474B8" w:rsidRPr="00ED5909">
        <w:rPr>
          <w:b/>
          <w:color w:val="00B050"/>
        </w:rPr>
        <w:t xml:space="preserve"> janvier 2020 à fin mars 2020 qui doit être fourni,</w:t>
      </w:r>
    </w:p>
    <w:p w14:paraId="6C8ED5A3" w14:textId="54D25065" w:rsidR="009730D4" w:rsidRPr="00ED5909" w:rsidRDefault="00527CA7" w:rsidP="00CE4A61">
      <w:pPr>
        <w:pBdr>
          <w:top w:val="single" w:sz="4" w:space="1" w:color="auto"/>
          <w:left w:val="single" w:sz="4" w:space="4" w:color="auto"/>
          <w:bottom w:val="single" w:sz="4" w:space="1" w:color="auto"/>
          <w:right w:val="single" w:sz="4" w:space="4" w:color="auto"/>
        </w:pBdr>
        <w:spacing w:after="0"/>
        <w:rPr>
          <w:b/>
          <w:color w:val="00B050"/>
        </w:rPr>
      </w:pPr>
      <w:r>
        <w:rPr>
          <w:b/>
          <w:color w:val="00B050"/>
        </w:rPr>
        <w:t>(</w:t>
      </w:r>
      <w:r w:rsidR="009730D4" w:rsidRPr="00ED5909">
        <w:rPr>
          <w:b/>
          <w:color w:val="00B050"/>
        </w:rPr>
        <w:t xml:space="preserve">Dans OPC2 plus de remise semestrielle, les règles </w:t>
      </w:r>
      <w:r w:rsidRPr="00ED5909">
        <w:rPr>
          <w:b/>
          <w:color w:val="00B050"/>
        </w:rPr>
        <w:t>des déclarations trimestrielles</w:t>
      </w:r>
      <w:r w:rsidR="009730D4" w:rsidRPr="00ED5909">
        <w:rPr>
          <w:b/>
          <w:color w:val="00B050"/>
        </w:rPr>
        <w:t xml:space="preserve"> s’appliqueront</w:t>
      </w:r>
      <w:r>
        <w:rPr>
          <w:b/>
          <w:color w:val="00B050"/>
        </w:rPr>
        <w:t xml:space="preserve"> aux fonds à VL semestrielles)</w:t>
      </w:r>
    </w:p>
    <w:p w14:paraId="169389CB" w14:textId="0834430D" w:rsidR="00E353EF" w:rsidRPr="00F55904" w:rsidRDefault="00E353EF" w:rsidP="00F55904">
      <w:pPr>
        <w:pStyle w:val="Paragraphedeliste"/>
        <w:numPr>
          <w:ilvl w:val="0"/>
          <w:numId w:val="7"/>
        </w:numPr>
        <w:rPr>
          <w:i/>
          <w:sz w:val="28"/>
        </w:rPr>
      </w:pPr>
      <w:r w:rsidRPr="00F55904">
        <w:rPr>
          <w:i/>
          <w:sz w:val="28"/>
        </w:rPr>
        <w:t>Points en suspens</w:t>
      </w:r>
      <w:r w:rsidR="001142E6">
        <w:rPr>
          <w:i/>
          <w:sz w:val="28"/>
        </w:rPr>
        <w:t xml:space="preserve"> </w:t>
      </w:r>
    </w:p>
    <w:p w14:paraId="3519E0C7" w14:textId="2A3DECA7" w:rsidR="00E353EF" w:rsidRPr="0016165B" w:rsidRDefault="0016165B" w:rsidP="00F55904">
      <w:pPr>
        <w:spacing w:after="0"/>
        <w:rPr>
          <w:color w:val="ED7D31" w:themeColor="accent2"/>
          <w:sz w:val="24"/>
        </w:rPr>
      </w:pPr>
      <w:r w:rsidRPr="0016165B">
        <w:rPr>
          <w:color w:val="ED7D31" w:themeColor="accent2"/>
          <w:sz w:val="24"/>
        </w:rPr>
        <w:t>-</w:t>
      </w:r>
      <w:r w:rsidR="00E353EF" w:rsidRPr="0016165B">
        <w:rPr>
          <w:color w:val="ED7D31" w:themeColor="accent2"/>
          <w:sz w:val="24"/>
        </w:rPr>
        <w:t>Revenus capitalisés</w:t>
      </w:r>
    </w:p>
    <w:p w14:paraId="3CD0F654" w14:textId="6192CA50" w:rsidR="00E353EF" w:rsidRDefault="00E353EF" w:rsidP="00E353EF">
      <w:pPr>
        <w:rPr>
          <w:rFonts w:ascii="Calibri" w:hAnsi="Calibri" w:cs="Calibri"/>
          <w:color w:val="000000" w:themeColor="text1"/>
        </w:rPr>
      </w:pPr>
      <w:r w:rsidRPr="00F805CB">
        <w:rPr>
          <w:rFonts w:ascii="Calibri" w:hAnsi="Calibri" w:cs="Calibri"/>
          <w:color w:val="000000" w:themeColor="text1"/>
        </w:rPr>
        <w:t xml:space="preserve">Les données relatives </w:t>
      </w:r>
      <w:r>
        <w:rPr>
          <w:rFonts w:ascii="Calibri" w:hAnsi="Calibri" w:cs="Calibri"/>
          <w:color w:val="000000" w:themeColor="text1"/>
        </w:rPr>
        <w:t xml:space="preserve">aux revenus </w:t>
      </w:r>
      <w:r w:rsidR="00ED5C83">
        <w:rPr>
          <w:rFonts w:ascii="Calibri" w:hAnsi="Calibri" w:cs="Calibri"/>
          <w:color w:val="000000" w:themeColor="text1"/>
        </w:rPr>
        <w:t>dis</w:t>
      </w:r>
      <w:r w:rsidR="00E6208D">
        <w:rPr>
          <w:rFonts w:ascii="Calibri" w:hAnsi="Calibri" w:cs="Calibri"/>
          <w:color w:val="000000" w:themeColor="text1"/>
        </w:rPr>
        <w:t xml:space="preserve">tribués sont </w:t>
      </w:r>
      <w:r w:rsidR="00F74E05">
        <w:rPr>
          <w:rFonts w:ascii="Calibri" w:hAnsi="Calibri" w:cs="Calibri"/>
          <w:color w:val="000000" w:themeColor="text1"/>
        </w:rPr>
        <w:t xml:space="preserve">disponibles </w:t>
      </w:r>
      <w:r w:rsidR="00E6208D">
        <w:rPr>
          <w:rFonts w:ascii="Calibri" w:hAnsi="Calibri" w:cs="Calibri"/>
          <w:color w:val="000000" w:themeColor="text1"/>
        </w:rPr>
        <w:t>en infra-</w:t>
      </w:r>
      <w:r w:rsidR="00ED5C83">
        <w:rPr>
          <w:rFonts w:ascii="Calibri" w:hAnsi="Calibri" w:cs="Calibri"/>
          <w:color w:val="000000" w:themeColor="text1"/>
        </w:rPr>
        <w:t xml:space="preserve">annuel mais c’est </w:t>
      </w:r>
      <w:r w:rsidR="00F74E05">
        <w:rPr>
          <w:rFonts w:ascii="Calibri" w:hAnsi="Calibri" w:cs="Calibri"/>
          <w:color w:val="000000" w:themeColor="text1"/>
        </w:rPr>
        <w:t>plus diff</w:t>
      </w:r>
      <w:r w:rsidR="0020611D">
        <w:rPr>
          <w:rFonts w:ascii="Calibri" w:hAnsi="Calibri" w:cs="Calibri"/>
          <w:color w:val="000000" w:themeColor="text1"/>
        </w:rPr>
        <w:t>i</w:t>
      </w:r>
      <w:r w:rsidR="00F74E05">
        <w:rPr>
          <w:rFonts w:ascii="Calibri" w:hAnsi="Calibri" w:cs="Calibri"/>
          <w:color w:val="000000" w:themeColor="text1"/>
        </w:rPr>
        <w:t>cile</w:t>
      </w:r>
      <w:r>
        <w:rPr>
          <w:rFonts w:ascii="Calibri" w:hAnsi="Calibri" w:cs="Calibri"/>
          <w:color w:val="000000" w:themeColor="text1"/>
        </w:rPr>
        <w:t xml:space="preserve"> </w:t>
      </w:r>
      <w:r w:rsidR="00ED5C83">
        <w:rPr>
          <w:rFonts w:ascii="Calibri" w:hAnsi="Calibri" w:cs="Calibri"/>
          <w:color w:val="000000" w:themeColor="text1"/>
        </w:rPr>
        <w:t>pour ceux capitalisés</w:t>
      </w:r>
      <w:r w:rsidR="006117D5">
        <w:rPr>
          <w:rFonts w:ascii="Calibri" w:hAnsi="Calibri" w:cs="Calibri"/>
          <w:color w:val="000000" w:themeColor="text1"/>
        </w:rPr>
        <w:t xml:space="preserve"> (revenus logés dans le même compte que ceux en attente de distribution).</w:t>
      </w:r>
    </w:p>
    <w:p w14:paraId="21741432" w14:textId="77777777" w:rsidR="00ED5C83" w:rsidRDefault="00ED5C83" w:rsidP="00E353EF">
      <w:pPr>
        <w:rPr>
          <w:rFonts w:ascii="Calibri" w:hAnsi="Calibri" w:cs="Calibri"/>
          <w:color w:val="000000" w:themeColor="text1"/>
        </w:rPr>
      </w:pPr>
    </w:p>
    <w:p w14:paraId="5FE28353" w14:textId="388690BE" w:rsidR="006D0FCD" w:rsidRPr="0016165B" w:rsidRDefault="0016165B" w:rsidP="00F55904">
      <w:pPr>
        <w:spacing w:after="0"/>
        <w:rPr>
          <w:color w:val="ED7D31" w:themeColor="accent2"/>
          <w:sz w:val="24"/>
        </w:rPr>
      </w:pPr>
      <w:r>
        <w:rPr>
          <w:color w:val="ED7D31" w:themeColor="accent2"/>
          <w:sz w:val="24"/>
        </w:rPr>
        <w:t>-Détention </w:t>
      </w:r>
    </w:p>
    <w:p w14:paraId="5D0A4026" w14:textId="196D8980" w:rsidR="009370A6" w:rsidRDefault="006D0FCD" w:rsidP="00D97153">
      <w:pPr>
        <w:rPr>
          <w:rFonts w:ascii="Calibri" w:hAnsi="Calibri" w:cs="Calibri"/>
          <w:color w:val="000000" w:themeColor="text1"/>
        </w:rPr>
      </w:pPr>
      <w:r>
        <w:rPr>
          <w:rFonts w:ascii="Calibri" w:hAnsi="Calibri" w:cs="Calibri"/>
          <w:color w:val="000000" w:themeColor="text1"/>
        </w:rPr>
        <w:t>La notion de secteur détenteur des parts d’OPC est une information capital</w:t>
      </w:r>
      <w:r w:rsidR="003F446D">
        <w:rPr>
          <w:rFonts w:ascii="Calibri" w:hAnsi="Calibri" w:cs="Calibri"/>
          <w:color w:val="000000" w:themeColor="text1"/>
        </w:rPr>
        <w:t>e</w:t>
      </w:r>
      <w:r>
        <w:rPr>
          <w:rFonts w:ascii="Calibri" w:hAnsi="Calibri" w:cs="Calibri"/>
          <w:color w:val="000000" w:themeColor="text1"/>
        </w:rPr>
        <w:t xml:space="preserve"> pour la </w:t>
      </w:r>
      <w:r w:rsidR="00EC42AC">
        <w:rPr>
          <w:rFonts w:ascii="Calibri" w:hAnsi="Calibri" w:cs="Calibri"/>
          <w:color w:val="000000" w:themeColor="text1"/>
        </w:rPr>
        <w:t>BDF</w:t>
      </w:r>
      <w:r>
        <w:rPr>
          <w:rFonts w:ascii="Calibri" w:hAnsi="Calibri" w:cs="Calibri"/>
          <w:color w:val="000000" w:themeColor="text1"/>
        </w:rPr>
        <w:t xml:space="preserve"> car </w:t>
      </w:r>
      <w:r w:rsidR="00F74E05">
        <w:rPr>
          <w:rFonts w:ascii="Calibri" w:hAnsi="Calibri" w:cs="Calibri"/>
          <w:color w:val="000000" w:themeColor="text1"/>
        </w:rPr>
        <w:t xml:space="preserve">cette information contribue </w:t>
      </w:r>
      <w:r w:rsidR="006117D5">
        <w:rPr>
          <w:rFonts w:ascii="Calibri" w:hAnsi="Calibri" w:cs="Calibri"/>
          <w:color w:val="000000" w:themeColor="text1"/>
        </w:rPr>
        <w:t>notamment</w:t>
      </w:r>
      <w:r w:rsidR="00F74E05">
        <w:rPr>
          <w:rFonts w:ascii="Calibri" w:hAnsi="Calibri" w:cs="Calibri"/>
          <w:color w:val="000000" w:themeColor="text1"/>
        </w:rPr>
        <w:t xml:space="preserve"> à la détermination du </w:t>
      </w:r>
      <w:r>
        <w:rPr>
          <w:rFonts w:ascii="Calibri" w:hAnsi="Calibri" w:cs="Calibri"/>
          <w:color w:val="000000" w:themeColor="text1"/>
        </w:rPr>
        <w:t>niveau d’épargne des ménages. L</w:t>
      </w:r>
      <w:r w:rsidRPr="003C34C2">
        <w:rPr>
          <w:rFonts w:ascii="Calibri" w:hAnsi="Calibri" w:cs="Calibri"/>
          <w:color w:val="000000" w:themeColor="text1"/>
        </w:rPr>
        <w:t xml:space="preserve">a source de données à utiliser </w:t>
      </w:r>
      <w:r>
        <w:rPr>
          <w:rFonts w:ascii="Calibri" w:hAnsi="Calibri" w:cs="Calibri"/>
          <w:color w:val="000000" w:themeColor="text1"/>
        </w:rPr>
        <w:t>par la B</w:t>
      </w:r>
      <w:r w:rsidR="00EC42AC">
        <w:rPr>
          <w:rFonts w:ascii="Calibri" w:hAnsi="Calibri" w:cs="Calibri"/>
          <w:color w:val="000000" w:themeColor="text1"/>
        </w:rPr>
        <w:t>DF</w:t>
      </w:r>
      <w:r>
        <w:rPr>
          <w:rFonts w:ascii="Calibri" w:hAnsi="Calibri" w:cs="Calibri"/>
          <w:color w:val="000000" w:themeColor="text1"/>
        </w:rPr>
        <w:t xml:space="preserve"> </w:t>
      </w:r>
      <w:r w:rsidRPr="003C34C2">
        <w:rPr>
          <w:rFonts w:ascii="Calibri" w:hAnsi="Calibri" w:cs="Calibri"/>
          <w:color w:val="000000" w:themeColor="text1"/>
        </w:rPr>
        <w:t>est fonction du mode de détention</w:t>
      </w:r>
      <w:r>
        <w:rPr>
          <w:rFonts w:ascii="Calibri" w:hAnsi="Calibri" w:cs="Calibri"/>
          <w:color w:val="000000" w:themeColor="text1"/>
        </w:rPr>
        <w:t> :</w:t>
      </w:r>
      <w:r w:rsidRPr="003C34C2">
        <w:rPr>
          <w:rFonts w:ascii="Calibri" w:hAnsi="Calibri" w:cs="Calibri"/>
          <w:color w:val="000000" w:themeColor="text1"/>
        </w:rPr>
        <w:t xml:space="preserve"> au porteur, au nominatif administré</w:t>
      </w:r>
      <w:r>
        <w:rPr>
          <w:rFonts w:ascii="Calibri" w:hAnsi="Calibri" w:cs="Calibri"/>
          <w:color w:val="000000" w:themeColor="text1"/>
        </w:rPr>
        <w:t xml:space="preserve"> ou nominatif pur</w:t>
      </w:r>
      <w:r w:rsidRPr="003C34C2">
        <w:rPr>
          <w:rFonts w:ascii="Calibri" w:hAnsi="Calibri" w:cs="Calibri"/>
          <w:color w:val="000000" w:themeColor="text1"/>
        </w:rPr>
        <w:t>.</w:t>
      </w:r>
      <w:r>
        <w:rPr>
          <w:rFonts w:ascii="Calibri" w:hAnsi="Calibri" w:cs="Calibri"/>
          <w:color w:val="000000" w:themeColor="text1"/>
        </w:rPr>
        <w:t xml:space="preserve"> Cette </w:t>
      </w:r>
      <w:r w:rsidR="00386FF4">
        <w:rPr>
          <w:rFonts w:ascii="Calibri" w:hAnsi="Calibri" w:cs="Calibri"/>
          <w:color w:val="000000" w:themeColor="text1"/>
        </w:rPr>
        <w:t>information</w:t>
      </w:r>
      <w:r>
        <w:rPr>
          <w:rFonts w:ascii="Calibri" w:hAnsi="Calibri" w:cs="Calibri"/>
          <w:color w:val="000000" w:themeColor="text1"/>
        </w:rPr>
        <w:t xml:space="preserve"> </w:t>
      </w:r>
      <w:r w:rsidRPr="003C34C2">
        <w:rPr>
          <w:rFonts w:ascii="Calibri" w:hAnsi="Calibri" w:cs="Calibri"/>
          <w:color w:val="000000" w:themeColor="text1"/>
        </w:rPr>
        <w:t>peut</w:t>
      </w:r>
      <w:r w:rsidR="009370A6" w:rsidRPr="003C34C2">
        <w:rPr>
          <w:rFonts w:ascii="Calibri" w:hAnsi="Calibri" w:cs="Calibri"/>
          <w:color w:val="000000" w:themeColor="text1"/>
        </w:rPr>
        <w:t xml:space="preserve"> </w:t>
      </w:r>
      <w:r w:rsidR="009370A6">
        <w:rPr>
          <w:rFonts w:ascii="Calibri" w:hAnsi="Calibri" w:cs="Calibri"/>
          <w:color w:val="000000" w:themeColor="text1"/>
        </w:rPr>
        <w:t xml:space="preserve">être accessible de deux façons : </w:t>
      </w:r>
    </w:p>
    <w:p w14:paraId="7C3F844C" w14:textId="700386E5" w:rsidR="006D0FCD" w:rsidRDefault="009370A6" w:rsidP="003C34C2">
      <w:pPr>
        <w:pStyle w:val="Paragraphedeliste"/>
        <w:numPr>
          <w:ilvl w:val="0"/>
          <w:numId w:val="12"/>
        </w:numPr>
        <w:rPr>
          <w:rFonts w:ascii="Calibri" w:hAnsi="Calibri" w:cs="Calibri"/>
          <w:color w:val="000000" w:themeColor="text1"/>
        </w:rPr>
      </w:pPr>
      <w:r w:rsidRPr="003C34C2">
        <w:rPr>
          <w:rFonts w:ascii="Calibri" w:hAnsi="Calibri" w:cs="Calibri"/>
          <w:color w:val="000000" w:themeColor="text1"/>
        </w:rPr>
        <w:t xml:space="preserve">soit </w:t>
      </w:r>
      <w:r w:rsidR="006D0FCD">
        <w:rPr>
          <w:rFonts w:ascii="Calibri" w:hAnsi="Calibri" w:cs="Calibri"/>
          <w:color w:val="000000" w:themeColor="text1"/>
        </w:rPr>
        <w:t>auprès des</w:t>
      </w:r>
      <w:r w:rsidRPr="003C34C2">
        <w:rPr>
          <w:rFonts w:ascii="Calibri" w:hAnsi="Calibri" w:cs="Calibri"/>
          <w:color w:val="000000" w:themeColor="text1"/>
        </w:rPr>
        <w:t xml:space="preserve"> Teneurs de comptes</w:t>
      </w:r>
      <w:r w:rsidR="006117D5">
        <w:rPr>
          <w:rFonts w:ascii="Calibri" w:hAnsi="Calibri" w:cs="Calibri"/>
          <w:color w:val="000000" w:themeColor="text1"/>
        </w:rPr>
        <w:t xml:space="preserve"> c</w:t>
      </w:r>
      <w:r w:rsidR="006117D5" w:rsidRPr="003C34C2">
        <w:rPr>
          <w:rFonts w:ascii="Calibri" w:hAnsi="Calibri" w:cs="Calibri"/>
          <w:color w:val="000000" w:themeColor="text1"/>
        </w:rPr>
        <w:t>onservateurs</w:t>
      </w:r>
      <w:r w:rsidR="006117D5">
        <w:rPr>
          <w:rFonts w:ascii="Calibri" w:hAnsi="Calibri" w:cs="Calibri"/>
          <w:color w:val="000000" w:themeColor="text1"/>
        </w:rPr>
        <w:t xml:space="preserve"> (TCC)</w:t>
      </w:r>
      <w:r w:rsidR="006D0FCD">
        <w:rPr>
          <w:rFonts w:ascii="Calibri" w:hAnsi="Calibri" w:cs="Calibri"/>
          <w:color w:val="000000" w:themeColor="text1"/>
        </w:rPr>
        <w:t xml:space="preserve"> pour les détentions au porteur ou </w:t>
      </w:r>
      <w:r w:rsidR="00DA38EE">
        <w:rPr>
          <w:rFonts w:ascii="Calibri" w:hAnsi="Calibri" w:cs="Calibri"/>
          <w:color w:val="000000" w:themeColor="text1"/>
        </w:rPr>
        <w:t xml:space="preserve">au </w:t>
      </w:r>
      <w:r w:rsidR="00386FF4">
        <w:rPr>
          <w:rFonts w:ascii="Calibri" w:hAnsi="Calibri" w:cs="Calibri"/>
          <w:color w:val="000000" w:themeColor="text1"/>
        </w:rPr>
        <w:t xml:space="preserve">nominatif </w:t>
      </w:r>
      <w:r w:rsidR="006D0FCD">
        <w:rPr>
          <w:rFonts w:ascii="Calibri" w:hAnsi="Calibri" w:cs="Calibri"/>
          <w:color w:val="000000" w:themeColor="text1"/>
        </w:rPr>
        <w:t xml:space="preserve">administré. </w:t>
      </w:r>
    </w:p>
    <w:p w14:paraId="608A70D0" w14:textId="5ED0638A" w:rsidR="009370A6" w:rsidRPr="000B65A5" w:rsidRDefault="006D0FCD" w:rsidP="006D0FCD">
      <w:pPr>
        <w:pStyle w:val="Paragraphedeliste"/>
        <w:rPr>
          <w:rFonts w:ascii="Calibri" w:hAnsi="Calibri" w:cs="Calibri"/>
          <w:color w:val="000000" w:themeColor="text1"/>
        </w:rPr>
      </w:pPr>
      <w:r>
        <w:rPr>
          <w:rFonts w:ascii="Calibri" w:hAnsi="Calibri" w:cs="Calibri"/>
          <w:color w:val="000000" w:themeColor="text1"/>
        </w:rPr>
        <w:t>== &gt; U</w:t>
      </w:r>
      <w:r w:rsidRPr="00C015EA">
        <w:rPr>
          <w:rFonts w:ascii="Calibri" w:hAnsi="Calibri" w:cs="Calibri"/>
          <w:color w:val="000000" w:themeColor="text1"/>
        </w:rPr>
        <w:t xml:space="preserve">ne collecte de la balance des paiements auprès </w:t>
      </w:r>
      <w:r>
        <w:rPr>
          <w:rFonts w:ascii="Calibri" w:hAnsi="Calibri" w:cs="Calibri"/>
          <w:color w:val="000000" w:themeColor="text1"/>
        </w:rPr>
        <w:t>des TCC sert de source pour ces types de détention</w:t>
      </w:r>
      <w:r w:rsidRPr="00C015EA">
        <w:rPr>
          <w:rFonts w:ascii="Calibri" w:hAnsi="Calibri" w:cs="Calibri"/>
          <w:color w:val="000000" w:themeColor="text1"/>
        </w:rPr>
        <w:t>.</w:t>
      </w:r>
    </w:p>
    <w:p w14:paraId="1DF7619A" w14:textId="77777777" w:rsidR="006D0FCD" w:rsidRDefault="000B65A5" w:rsidP="000B65A5">
      <w:pPr>
        <w:pStyle w:val="Paragraphedeliste"/>
        <w:numPr>
          <w:ilvl w:val="0"/>
          <w:numId w:val="12"/>
        </w:numPr>
        <w:rPr>
          <w:rFonts w:ascii="Calibri" w:hAnsi="Calibri" w:cs="Calibri"/>
          <w:color w:val="000000" w:themeColor="text1"/>
        </w:rPr>
      </w:pPr>
      <w:r w:rsidRPr="003C34C2">
        <w:rPr>
          <w:rFonts w:ascii="Calibri" w:hAnsi="Calibri" w:cs="Calibri"/>
          <w:color w:val="000000" w:themeColor="text1"/>
        </w:rPr>
        <w:t xml:space="preserve">soit auprès des sociétés de gestion </w:t>
      </w:r>
      <w:r>
        <w:rPr>
          <w:rFonts w:ascii="Calibri" w:hAnsi="Calibri" w:cs="Calibri"/>
          <w:color w:val="000000" w:themeColor="text1"/>
        </w:rPr>
        <w:t>pour le nominatif pur</w:t>
      </w:r>
      <w:r w:rsidR="006D0FCD">
        <w:rPr>
          <w:rFonts w:ascii="Calibri" w:hAnsi="Calibri" w:cs="Calibri"/>
          <w:color w:val="000000" w:themeColor="text1"/>
        </w:rPr>
        <w:t xml:space="preserve">. </w:t>
      </w:r>
    </w:p>
    <w:p w14:paraId="270CC7EC" w14:textId="61697494" w:rsidR="000B65A5" w:rsidRDefault="006D0FCD" w:rsidP="006D0FCD">
      <w:pPr>
        <w:pStyle w:val="Paragraphedeliste"/>
        <w:rPr>
          <w:rFonts w:ascii="Calibri" w:hAnsi="Calibri" w:cs="Calibri"/>
          <w:color w:val="000000" w:themeColor="text1"/>
        </w:rPr>
      </w:pPr>
      <w:r>
        <w:rPr>
          <w:rFonts w:ascii="Calibri" w:hAnsi="Calibri" w:cs="Calibri"/>
          <w:color w:val="000000" w:themeColor="text1"/>
        </w:rPr>
        <w:t>== &gt; Aucune information n’est récupérée</w:t>
      </w:r>
      <w:r w:rsidR="00F74E05">
        <w:rPr>
          <w:rFonts w:ascii="Calibri" w:hAnsi="Calibri" w:cs="Calibri"/>
          <w:color w:val="000000" w:themeColor="text1"/>
        </w:rPr>
        <w:t xml:space="preserve"> à ce jour</w:t>
      </w:r>
      <w:r>
        <w:rPr>
          <w:rFonts w:ascii="Calibri" w:hAnsi="Calibri" w:cs="Calibri"/>
          <w:color w:val="000000" w:themeColor="text1"/>
        </w:rPr>
        <w:t>.</w:t>
      </w:r>
    </w:p>
    <w:p w14:paraId="6EBE8217" w14:textId="2410FCBE" w:rsidR="006117D5" w:rsidRPr="007F5325" w:rsidRDefault="00386FF4" w:rsidP="006117D5">
      <w:pPr>
        <w:rPr>
          <w:i/>
          <w:color w:val="1F3864" w:themeColor="accent5" w:themeShade="80"/>
        </w:rPr>
      </w:pPr>
      <w:r w:rsidRPr="0016165B">
        <w:rPr>
          <w:b/>
          <w:color w:val="44546A" w:themeColor="text2"/>
        </w:rPr>
        <w:t>Suite aux discussions en atelier :</w:t>
      </w:r>
      <w:r w:rsidR="006D0FCD" w:rsidRPr="0016165B">
        <w:rPr>
          <w:rFonts w:ascii="Calibri" w:hAnsi="Calibri" w:cs="Calibri"/>
          <w:i/>
          <w:color w:val="44546A" w:themeColor="text2"/>
        </w:rPr>
        <w:t xml:space="preserve"> </w:t>
      </w:r>
      <w:r w:rsidR="006117D5" w:rsidRPr="0016165B">
        <w:rPr>
          <w:rFonts w:ascii="Calibri" w:hAnsi="Calibri" w:cs="Calibri"/>
          <w:i/>
          <w:color w:val="44546A" w:themeColor="text2"/>
        </w:rPr>
        <w:t>Les valorisateurs ne disposant pas de cette information et les sociétés de gestion ne faisant quasiment pas de remises OPC pour la BDF, il est envisagé de récupérer les informations auprès de l’AMF via la collecte AIFM pour les fonds alternatifs (sur base trimestrielle ou annu</w:t>
      </w:r>
      <w:r w:rsidR="007F5325">
        <w:rPr>
          <w:rFonts w:ascii="Calibri" w:hAnsi="Calibri" w:cs="Calibri"/>
          <w:i/>
          <w:color w:val="44546A" w:themeColor="text2"/>
        </w:rPr>
        <w:t>elle selon la taille des fonds).</w:t>
      </w:r>
    </w:p>
    <w:p w14:paraId="13198CA6" w14:textId="0A8AD307" w:rsidR="00F55904" w:rsidRPr="00ED5909" w:rsidRDefault="007F5325" w:rsidP="00F17B2A">
      <w:pPr>
        <w:pBdr>
          <w:top w:val="single" w:sz="4" w:space="1" w:color="auto"/>
          <w:left w:val="single" w:sz="4" w:space="4" w:color="auto"/>
          <w:bottom w:val="single" w:sz="4" w:space="1" w:color="auto"/>
          <w:right w:val="single" w:sz="4" w:space="4" w:color="auto"/>
        </w:pBdr>
        <w:spacing w:after="0"/>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F17B2A" w:rsidRPr="00ED5909">
        <w:rPr>
          <w:b/>
          <w:color w:val="00B050"/>
        </w:rPr>
        <w:t>La Banque de France utilisera les deux sources :</w:t>
      </w:r>
    </w:p>
    <w:p w14:paraId="047BECD2" w14:textId="7874C278" w:rsidR="00F17B2A" w:rsidRPr="00ED5909" w:rsidRDefault="00F17B2A" w:rsidP="00F17B2A">
      <w:pPr>
        <w:pBdr>
          <w:top w:val="single" w:sz="4" w:space="1" w:color="auto"/>
          <w:left w:val="single" w:sz="4" w:space="4" w:color="auto"/>
          <w:bottom w:val="single" w:sz="4" w:space="1" w:color="auto"/>
          <w:right w:val="single" w:sz="4" w:space="4" w:color="auto"/>
        </w:pBdr>
        <w:spacing w:after="0"/>
        <w:rPr>
          <w:b/>
          <w:color w:val="00B050"/>
        </w:rPr>
      </w:pPr>
      <w:r w:rsidRPr="00ED5909">
        <w:rPr>
          <w:b/>
          <w:color w:val="00B050"/>
        </w:rPr>
        <w:t>-</w:t>
      </w:r>
      <w:r w:rsidRPr="00ED5909">
        <w:rPr>
          <w:b/>
          <w:color w:val="00B050"/>
        </w:rPr>
        <w:tab/>
        <w:t>la source TCC pour les fonds OPC</w:t>
      </w:r>
      <w:r w:rsidR="007C41F3" w:rsidRPr="00ED5909">
        <w:rPr>
          <w:b/>
          <w:color w:val="00B050"/>
        </w:rPr>
        <w:t>VM</w:t>
      </w:r>
      <w:r w:rsidRPr="00ED5909">
        <w:rPr>
          <w:b/>
          <w:color w:val="00B050"/>
        </w:rPr>
        <w:t xml:space="preserve"> </w:t>
      </w:r>
    </w:p>
    <w:p w14:paraId="562F944E" w14:textId="78E4B98E" w:rsidR="00F17B2A" w:rsidRPr="00ED5909" w:rsidRDefault="00F17B2A" w:rsidP="00F17B2A">
      <w:pPr>
        <w:pBdr>
          <w:top w:val="single" w:sz="4" w:space="1" w:color="auto"/>
          <w:left w:val="single" w:sz="4" w:space="4" w:color="auto"/>
          <w:bottom w:val="single" w:sz="4" w:space="1" w:color="auto"/>
          <w:right w:val="single" w:sz="4" w:space="4" w:color="auto"/>
        </w:pBdr>
        <w:spacing w:after="0"/>
        <w:rPr>
          <w:b/>
          <w:color w:val="00B050"/>
        </w:rPr>
      </w:pPr>
      <w:r w:rsidRPr="00ED5909">
        <w:rPr>
          <w:b/>
          <w:color w:val="00B050"/>
        </w:rPr>
        <w:t>-</w:t>
      </w:r>
      <w:r w:rsidRPr="00ED5909">
        <w:rPr>
          <w:b/>
          <w:color w:val="00B050"/>
        </w:rPr>
        <w:tab/>
        <w:t xml:space="preserve">la source AIFM pour les fonds </w:t>
      </w:r>
      <w:r w:rsidR="007C41F3" w:rsidRPr="00ED5909">
        <w:rPr>
          <w:b/>
          <w:color w:val="00B050"/>
        </w:rPr>
        <w:t xml:space="preserve">d’investissement </w:t>
      </w:r>
      <w:r w:rsidRPr="00ED5909">
        <w:rPr>
          <w:b/>
          <w:color w:val="00B050"/>
        </w:rPr>
        <w:t>a</w:t>
      </w:r>
      <w:r w:rsidR="007C41F3" w:rsidRPr="00ED5909">
        <w:rPr>
          <w:b/>
          <w:color w:val="00B050"/>
        </w:rPr>
        <w:t>l</w:t>
      </w:r>
      <w:r w:rsidRPr="00ED5909">
        <w:rPr>
          <w:b/>
          <w:color w:val="00B050"/>
        </w:rPr>
        <w:t>ternatif</w:t>
      </w:r>
      <w:r w:rsidR="00527CA7" w:rsidRPr="00ED5909">
        <w:rPr>
          <w:b/>
          <w:color w:val="00B050"/>
        </w:rPr>
        <w:t xml:space="preserve"> lorsque l’environnement BIO3 sera disponible</w:t>
      </w:r>
    </w:p>
    <w:p w14:paraId="4EB2FE43" w14:textId="6ECB344B" w:rsidR="00F55904" w:rsidRPr="0016165B" w:rsidRDefault="0016165B" w:rsidP="00F17B2A">
      <w:pPr>
        <w:spacing w:before="120" w:after="0"/>
        <w:rPr>
          <w:color w:val="ED7D31" w:themeColor="accent2"/>
          <w:sz w:val="24"/>
        </w:rPr>
      </w:pPr>
      <w:r w:rsidRPr="0016165B">
        <w:rPr>
          <w:color w:val="ED7D31" w:themeColor="accent2"/>
          <w:sz w:val="24"/>
        </w:rPr>
        <w:t>-</w:t>
      </w:r>
      <w:r w:rsidR="00F55904" w:rsidRPr="0016165B">
        <w:rPr>
          <w:color w:val="ED7D31" w:themeColor="accent2"/>
          <w:sz w:val="24"/>
        </w:rPr>
        <w:t xml:space="preserve">Label  </w:t>
      </w:r>
    </w:p>
    <w:p w14:paraId="43D12EE7" w14:textId="77777777" w:rsidR="00F55904" w:rsidRPr="00546AD1" w:rsidRDefault="00F55904" w:rsidP="00F55904">
      <w:pPr>
        <w:rPr>
          <w:rFonts w:ascii="Calibri" w:hAnsi="Calibri" w:cs="Calibri"/>
          <w:i/>
          <w:color w:val="44546A" w:themeColor="text2"/>
        </w:rPr>
      </w:pPr>
      <w:r w:rsidRPr="00386FF4">
        <w:rPr>
          <w:b/>
          <w:color w:val="44546A" w:themeColor="text2"/>
        </w:rPr>
        <w:t>Suite aux discussions en atelier</w:t>
      </w:r>
      <w:r>
        <w:rPr>
          <w:b/>
          <w:color w:val="44546A" w:themeColor="text2"/>
        </w:rPr>
        <w:t> </w:t>
      </w:r>
      <w:r>
        <w:t xml:space="preserve">: </w:t>
      </w:r>
      <w:r w:rsidRPr="00546AD1">
        <w:rPr>
          <w:rFonts w:ascii="Calibri" w:hAnsi="Calibri" w:cs="Calibri"/>
          <w:i/>
          <w:color w:val="44546A" w:themeColor="text2"/>
        </w:rPr>
        <w:t xml:space="preserve">L’information concernant les labels (ISR, Greenfin, FPE etc…) n’est pas disponible </w:t>
      </w:r>
      <w:r>
        <w:rPr>
          <w:rFonts w:ascii="Calibri" w:hAnsi="Calibri" w:cs="Calibri"/>
          <w:i/>
          <w:color w:val="44546A" w:themeColor="text2"/>
        </w:rPr>
        <w:t>dans les</w:t>
      </w:r>
      <w:r w:rsidRPr="00546AD1">
        <w:rPr>
          <w:rFonts w:ascii="Calibri" w:hAnsi="Calibri" w:cs="Calibri"/>
          <w:i/>
          <w:color w:val="44546A" w:themeColor="text2"/>
        </w:rPr>
        <w:t xml:space="preserve"> bases des remettants. Elle sera communiquée par l’AMF par leur nouvel environnement BIO3. </w:t>
      </w:r>
    </w:p>
    <w:p w14:paraId="6224A2B2" w14:textId="77777777" w:rsidR="00F55904" w:rsidRDefault="00F55904" w:rsidP="006117D5">
      <w:pPr>
        <w:rPr>
          <w:i/>
          <w:color w:val="FF0000"/>
          <w:sz w:val="20"/>
        </w:rPr>
      </w:pPr>
    </w:p>
    <w:p w14:paraId="7C14A6D9" w14:textId="77777777" w:rsidR="006117D5" w:rsidRDefault="006117D5" w:rsidP="006117D5">
      <w:pPr>
        <w:rPr>
          <w:i/>
          <w:color w:val="FF0000"/>
          <w:sz w:val="20"/>
        </w:rPr>
      </w:pPr>
    </w:p>
    <w:p w14:paraId="3786CBA8" w14:textId="4C1C7DD8" w:rsidR="00E353EF" w:rsidRPr="00CA1948" w:rsidRDefault="00E353EF" w:rsidP="00CA1948">
      <w:pPr>
        <w:pStyle w:val="Paragraphedeliste"/>
        <w:numPr>
          <w:ilvl w:val="0"/>
          <w:numId w:val="7"/>
        </w:numPr>
        <w:rPr>
          <w:i/>
          <w:sz w:val="28"/>
        </w:rPr>
      </w:pPr>
      <w:r w:rsidRPr="00CA1948">
        <w:rPr>
          <w:i/>
          <w:sz w:val="28"/>
        </w:rPr>
        <w:t>Allègements</w:t>
      </w:r>
    </w:p>
    <w:p w14:paraId="3003DD43" w14:textId="266D4CA4" w:rsidR="00E353EF" w:rsidRPr="0016165B" w:rsidRDefault="00CA1948" w:rsidP="00E353EF">
      <w:pPr>
        <w:rPr>
          <w:rFonts w:ascii="Calibri" w:hAnsi="Calibri" w:cs="Calibri"/>
        </w:rPr>
      </w:pPr>
      <w:r w:rsidRPr="0016165B">
        <w:lastRenderedPageBreak/>
        <w:t xml:space="preserve">Les allégements à l’étude sont traités dans la première partie, notamment faciliter les remises avec moins de blocage sur règles comptables, sur les valeurs liquidatives ou sur les titres non référencés, donnant ainsi plus de souplesse aux déclarations. </w:t>
      </w:r>
    </w:p>
    <w:p w14:paraId="2E4002FD" w14:textId="44CEA226" w:rsidR="006117D5" w:rsidRDefault="006117D5" w:rsidP="00E353EF">
      <w:pPr>
        <w:rPr>
          <w:rFonts w:ascii="Calibri" w:hAnsi="Calibri" w:cs="Calibri"/>
          <w:color w:val="000000" w:themeColor="text1"/>
        </w:rPr>
      </w:pPr>
    </w:p>
    <w:p w14:paraId="1F928B41" w14:textId="792FB9FA" w:rsidR="00C10E51" w:rsidRDefault="00C10E51" w:rsidP="00E353EF">
      <w:pPr>
        <w:rPr>
          <w:rFonts w:ascii="Calibri" w:hAnsi="Calibri" w:cs="Calibri"/>
          <w:color w:val="000000" w:themeColor="text1"/>
        </w:rPr>
      </w:pPr>
    </w:p>
    <w:p w14:paraId="36FEA2E2" w14:textId="20FD6422" w:rsidR="008C5682" w:rsidRDefault="008C5682" w:rsidP="00E353EF">
      <w:pPr>
        <w:rPr>
          <w:rFonts w:ascii="Calibri" w:hAnsi="Calibri" w:cs="Calibri"/>
          <w:color w:val="000000" w:themeColor="text1"/>
        </w:rPr>
      </w:pPr>
    </w:p>
    <w:p w14:paraId="33F73961" w14:textId="1E9F2B84" w:rsidR="008C5682" w:rsidRDefault="008C5682" w:rsidP="00E353EF">
      <w:pPr>
        <w:rPr>
          <w:rFonts w:ascii="Calibri" w:hAnsi="Calibri" w:cs="Calibri"/>
          <w:color w:val="000000" w:themeColor="text1"/>
        </w:rPr>
      </w:pPr>
    </w:p>
    <w:p w14:paraId="5B55170E" w14:textId="77777777" w:rsidR="008C5682" w:rsidRDefault="008C5682" w:rsidP="00E353EF">
      <w:pPr>
        <w:rPr>
          <w:rFonts w:ascii="Calibri" w:hAnsi="Calibri" w:cs="Calibri"/>
          <w:color w:val="000000" w:themeColor="text1"/>
        </w:rPr>
      </w:pPr>
    </w:p>
    <w:p w14:paraId="338EA9AC" w14:textId="462F9100" w:rsidR="00B04DF3" w:rsidRPr="00D06400" w:rsidRDefault="00B04DF3" w:rsidP="00B04DF3">
      <w:pPr>
        <w:pStyle w:val="Paragraphedeliste"/>
        <w:numPr>
          <w:ilvl w:val="1"/>
          <w:numId w:val="3"/>
        </w:numPr>
        <w:rPr>
          <w:b/>
          <w:color w:val="44546A" w:themeColor="text2"/>
          <w:sz w:val="28"/>
          <w:szCs w:val="26"/>
        </w:rPr>
      </w:pPr>
      <w:r w:rsidRPr="00D06400">
        <w:rPr>
          <w:b/>
          <w:color w:val="808080" w:themeColor="background1" w:themeShade="80"/>
          <w:sz w:val="28"/>
          <w:szCs w:val="26"/>
        </w:rPr>
        <w:t xml:space="preserve">Ajouts </w:t>
      </w:r>
      <w:r w:rsidR="0011370A" w:rsidRPr="00D06400">
        <w:rPr>
          <w:b/>
          <w:color w:val="808080" w:themeColor="background1" w:themeShade="80"/>
          <w:sz w:val="28"/>
          <w:szCs w:val="26"/>
        </w:rPr>
        <w:t xml:space="preserve">de collecte spécifiques </w:t>
      </w:r>
      <w:r w:rsidRPr="00D06400">
        <w:rPr>
          <w:b/>
          <w:color w:val="808080" w:themeColor="background1" w:themeShade="80"/>
          <w:sz w:val="28"/>
          <w:szCs w:val="26"/>
        </w:rPr>
        <w:t xml:space="preserve">pour </w:t>
      </w:r>
      <w:r w:rsidR="004E1331" w:rsidRPr="00D06400">
        <w:rPr>
          <w:b/>
          <w:color w:val="808080" w:themeColor="background1" w:themeShade="80"/>
          <w:sz w:val="28"/>
          <w:szCs w:val="26"/>
        </w:rPr>
        <w:t>les fonds immobiliers</w:t>
      </w:r>
    </w:p>
    <w:p w14:paraId="584942DE" w14:textId="549A882E" w:rsidR="00B04DF3" w:rsidRDefault="00B04DF3" w:rsidP="00B04DF3">
      <w:pPr>
        <w:pStyle w:val="Paragraphedeliste"/>
        <w:ind w:left="1440"/>
        <w:rPr>
          <w:b/>
          <w:color w:val="808080" w:themeColor="background1" w:themeShade="80"/>
          <w:sz w:val="26"/>
          <w:szCs w:val="26"/>
        </w:rPr>
      </w:pPr>
    </w:p>
    <w:p w14:paraId="43EFC279" w14:textId="04DCE2EC" w:rsidR="009A5BC7" w:rsidRPr="00484186" w:rsidRDefault="00484186" w:rsidP="00484186">
      <w:pPr>
        <w:spacing w:after="0"/>
        <w:rPr>
          <w:color w:val="ED7D31" w:themeColor="accent2"/>
        </w:rPr>
      </w:pPr>
      <w:r w:rsidRPr="0016165B">
        <w:rPr>
          <w:color w:val="ED7D31" w:themeColor="accent2"/>
          <w:sz w:val="24"/>
        </w:rPr>
        <w:t>-Distinction</w:t>
      </w:r>
      <w:r w:rsidR="00B04DF3" w:rsidRPr="0016165B">
        <w:rPr>
          <w:color w:val="ED7D31" w:themeColor="accent2"/>
          <w:sz w:val="24"/>
        </w:rPr>
        <w:t xml:space="preserve"> </w:t>
      </w:r>
      <w:r w:rsidR="005F66C4" w:rsidRPr="0016165B">
        <w:rPr>
          <w:color w:val="ED7D31" w:themeColor="accent2"/>
          <w:sz w:val="24"/>
        </w:rPr>
        <w:t xml:space="preserve">des </w:t>
      </w:r>
      <w:r w:rsidR="006D3695" w:rsidRPr="0016165B">
        <w:rPr>
          <w:color w:val="ED7D31" w:themeColor="accent2"/>
          <w:sz w:val="24"/>
        </w:rPr>
        <w:t>part</w:t>
      </w:r>
      <w:r w:rsidR="003513E4" w:rsidRPr="0016165B">
        <w:rPr>
          <w:color w:val="ED7D31" w:themeColor="accent2"/>
          <w:sz w:val="24"/>
        </w:rPr>
        <w:t>s</w:t>
      </w:r>
      <w:r w:rsidR="006D3695" w:rsidRPr="0016165B">
        <w:rPr>
          <w:color w:val="ED7D31" w:themeColor="accent2"/>
          <w:sz w:val="24"/>
        </w:rPr>
        <w:t xml:space="preserve"> de </w:t>
      </w:r>
      <w:r w:rsidR="005F66C4" w:rsidRPr="0016165B">
        <w:rPr>
          <w:color w:val="ED7D31" w:themeColor="accent2"/>
          <w:sz w:val="24"/>
        </w:rPr>
        <w:t>sociétés immobilières</w:t>
      </w:r>
      <w:r w:rsidR="00B04DF3" w:rsidRPr="0016165B">
        <w:rPr>
          <w:color w:val="ED7D31" w:themeColor="accent2"/>
          <w:sz w:val="24"/>
        </w:rPr>
        <w:t xml:space="preserve"> dans l’</w:t>
      </w:r>
      <w:r w:rsidR="009A5BC7" w:rsidRPr="0016165B">
        <w:rPr>
          <w:color w:val="ED7D31" w:themeColor="accent2"/>
          <w:sz w:val="24"/>
        </w:rPr>
        <w:t xml:space="preserve">actif immobilier </w:t>
      </w:r>
    </w:p>
    <w:p w14:paraId="7F57F0FA" w14:textId="2B1521EA" w:rsidR="003F446D" w:rsidRDefault="00E353EF" w:rsidP="009A5BC7">
      <w:pPr>
        <w:rPr>
          <w:rFonts w:ascii="Calibri" w:hAnsi="Calibri" w:cs="Calibri"/>
          <w:color w:val="000000" w:themeColor="text1"/>
        </w:rPr>
      </w:pPr>
      <w:r w:rsidRPr="003C34C2">
        <w:rPr>
          <w:rFonts w:ascii="Calibri" w:hAnsi="Calibri" w:cs="Calibri"/>
          <w:color w:val="000000" w:themeColor="text1"/>
        </w:rPr>
        <w:t xml:space="preserve">La BDF souhaite </w:t>
      </w:r>
      <w:r w:rsidR="00833809">
        <w:rPr>
          <w:rFonts w:ascii="Calibri" w:hAnsi="Calibri" w:cs="Calibri"/>
          <w:color w:val="000000" w:themeColor="text1"/>
        </w:rPr>
        <w:t>distinguer</w:t>
      </w:r>
      <w:r w:rsidRPr="003C34C2">
        <w:rPr>
          <w:rFonts w:ascii="Calibri" w:hAnsi="Calibri" w:cs="Calibri"/>
          <w:color w:val="000000" w:themeColor="text1"/>
        </w:rPr>
        <w:t xml:space="preserve"> les parts de sociétés immobilières foncières et </w:t>
      </w:r>
      <w:r w:rsidR="0036192C">
        <w:rPr>
          <w:rFonts w:ascii="Calibri" w:hAnsi="Calibri" w:cs="Calibri"/>
          <w:color w:val="000000" w:themeColor="text1"/>
        </w:rPr>
        <w:t>des</w:t>
      </w:r>
      <w:r w:rsidR="009A5BC7">
        <w:rPr>
          <w:rFonts w:ascii="Calibri" w:hAnsi="Calibri" w:cs="Calibri"/>
          <w:color w:val="000000" w:themeColor="text1"/>
        </w:rPr>
        <w:t xml:space="preserve"> </w:t>
      </w:r>
      <w:r w:rsidRPr="003C34C2">
        <w:rPr>
          <w:rFonts w:ascii="Calibri" w:hAnsi="Calibri" w:cs="Calibri"/>
          <w:color w:val="000000" w:themeColor="text1"/>
        </w:rPr>
        <w:t xml:space="preserve">SCI </w:t>
      </w:r>
      <w:r w:rsidR="009A5BC7">
        <w:rPr>
          <w:rFonts w:ascii="Calibri" w:hAnsi="Calibri" w:cs="Calibri"/>
          <w:color w:val="000000" w:themeColor="text1"/>
        </w:rPr>
        <w:t>(S</w:t>
      </w:r>
      <w:r w:rsidRPr="003C34C2">
        <w:rPr>
          <w:rFonts w:ascii="Calibri" w:hAnsi="Calibri" w:cs="Calibri"/>
          <w:color w:val="000000" w:themeColor="text1"/>
        </w:rPr>
        <w:t xml:space="preserve">ociété </w:t>
      </w:r>
      <w:r w:rsidR="009A5BC7">
        <w:rPr>
          <w:rFonts w:ascii="Calibri" w:hAnsi="Calibri" w:cs="Calibri"/>
          <w:color w:val="000000" w:themeColor="text1"/>
        </w:rPr>
        <w:t>Civiles I</w:t>
      </w:r>
      <w:r w:rsidRPr="003C34C2">
        <w:rPr>
          <w:rFonts w:ascii="Calibri" w:hAnsi="Calibri" w:cs="Calibri"/>
          <w:color w:val="000000" w:themeColor="text1"/>
        </w:rPr>
        <w:t>mmobilières</w:t>
      </w:r>
      <w:r w:rsidR="009A5BC7">
        <w:rPr>
          <w:rFonts w:ascii="Calibri" w:hAnsi="Calibri" w:cs="Calibri"/>
          <w:color w:val="000000" w:themeColor="text1"/>
        </w:rPr>
        <w:t>)</w:t>
      </w:r>
      <w:r w:rsidR="00F10B70">
        <w:rPr>
          <w:rFonts w:ascii="Calibri" w:hAnsi="Calibri" w:cs="Calibri"/>
          <w:color w:val="000000" w:themeColor="text1"/>
        </w:rPr>
        <w:t xml:space="preserve"> dans l’actif, ces derniè</w:t>
      </w:r>
      <w:r w:rsidR="00B04DF3">
        <w:rPr>
          <w:rFonts w:ascii="Calibri" w:hAnsi="Calibri" w:cs="Calibri"/>
          <w:color w:val="000000" w:themeColor="text1"/>
        </w:rPr>
        <w:t>res sont en effet de plus en plus privilégié</w:t>
      </w:r>
      <w:r w:rsidR="00DA38EE">
        <w:rPr>
          <w:rFonts w:ascii="Calibri" w:hAnsi="Calibri" w:cs="Calibri"/>
          <w:color w:val="000000" w:themeColor="text1"/>
        </w:rPr>
        <w:t>e</w:t>
      </w:r>
      <w:r w:rsidR="00B04DF3">
        <w:rPr>
          <w:rFonts w:ascii="Calibri" w:hAnsi="Calibri" w:cs="Calibri"/>
          <w:color w:val="000000" w:themeColor="text1"/>
        </w:rPr>
        <w:t>s comme intermédiaire</w:t>
      </w:r>
      <w:r w:rsidR="00DA38EE">
        <w:rPr>
          <w:rFonts w:ascii="Calibri" w:hAnsi="Calibri" w:cs="Calibri"/>
          <w:color w:val="000000" w:themeColor="text1"/>
        </w:rPr>
        <w:t>s</w:t>
      </w:r>
      <w:r w:rsidR="00B04DF3">
        <w:rPr>
          <w:rFonts w:ascii="Calibri" w:hAnsi="Calibri" w:cs="Calibri"/>
          <w:color w:val="000000" w:themeColor="text1"/>
        </w:rPr>
        <w:t xml:space="preserve"> pour </w:t>
      </w:r>
      <w:r w:rsidR="00DA38EE">
        <w:rPr>
          <w:rFonts w:ascii="Calibri" w:hAnsi="Calibri" w:cs="Calibri"/>
          <w:color w:val="000000" w:themeColor="text1"/>
        </w:rPr>
        <w:t xml:space="preserve">les </w:t>
      </w:r>
      <w:r w:rsidR="00B04DF3">
        <w:rPr>
          <w:rFonts w:ascii="Calibri" w:hAnsi="Calibri" w:cs="Calibri"/>
          <w:color w:val="000000" w:themeColor="text1"/>
        </w:rPr>
        <w:t>achats d’immeuble</w:t>
      </w:r>
      <w:r w:rsidR="00DA38EE">
        <w:rPr>
          <w:rFonts w:ascii="Calibri" w:hAnsi="Calibri" w:cs="Calibri"/>
          <w:color w:val="000000" w:themeColor="text1"/>
        </w:rPr>
        <w:t>s</w:t>
      </w:r>
      <w:r w:rsidRPr="003C34C2">
        <w:rPr>
          <w:rFonts w:ascii="Calibri" w:hAnsi="Calibri" w:cs="Calibri"/>
          <w:color w:val="000000" w:themeColor="text1"/>
        </w:rPr>
        <w:t xml:space="preserve">. </w:t>
      </w:r>
    </w:p>
    <w:p w14:paraId="6EA164C8" w14:textId="0BDDA435" w:rsidR="003F446D" w:rsidRDefault="006117D5" w:rsidP="009A5BC7">
      <w:pPr>
        <w:rPr>
          <w:rFonts w:ascii="Calibri" w:hAnsi="Calibri" w:cs="Calibri"/>
          <w:color w:val="000000" w:themeColor="text1"/>
        </w:rPr>
      </w:pPr>
      <w:r>
        <w:rPr>
          <w:rFonts w:ascii="Calibri" w:hAnsi="Calibri" w:cs="Calibri"/>
          <w:color w:val="000000" w:themeColor="text1"/>
        </w:rPr>
        <w:t>Elles seront distingués dans la nomenclature « nature de titre »</w:t>
      </w:r>
      <w:r w:rsidR="003F446D">
        <w:rPr>
          <w:rFonts w:ascii="Calibri" w:hAnsi="Calibri" w:cs="Calibri"/>
          <w:color w:val="000000" w:themeColor="text1"/>
        </w:rPr>
        <w:t> :</w:t>
      </w:r>
    </w:p>
    <w:p w14:paraId="0CF39BD4" w14:textId="14AD71BB" w:rsidR="00B04DF3" w:rsidRPr="00484186" w:rsidRDefault="006117D5" w:rsidP="00B04DF3">
      <w:pPr>
        <w:spacing w:after="0"/>
        <w:rPr>
          <w:rFonts w:ascii="Calibri" w:hAnsi="Calibri" w:cs="Calibri"/>
          <w:color w:val="000000" w:themeColor="text1"/>
        </w:rPr>
      </w:pPr>
      <w:r w:rsidRPr="00484186">
        <w:rPr>
          <w:rFonts w:ascii="Calibri" w:hAnsi="Calibri" w:cs="Calibri"/>
          <w:color w:val="000000" w:themeColor="text1"/>
        </w:rPr>
        <w:t xml:space="preserve">« Part de société </w:t>
      </w:r>
      <w:r w:rsidR="00B04DF3" w:rsidRPr="00484186">
        <w:rPr>
          <w:rFonts w:ascii="Calibri" w:hAnsi="Calibri" w:cs="Calibri"/>
          <w:color w:val="000000" w:themeColor="text1"/>
        </w:rPr>
        <w:t>immobilières cotées (foncières…)</w:t>
      </w:r>
      <w:r w:rsidRPr="00484186">
        <w:rPr>
          <w:rFonts w:ascii="Calibri" w:hAnsi="Calibri" w:cs="Calibri"/>
          <w:color w:val="000000" w:themeColor="text1"/>
        </w:rPr>
        <w:t> »</w:t>
      </w:r>
      <w:r w:rsidR="00B04DF3" w:rsidRPr="00484186">
        <w:rPr>
          <w:rFonts w:ascii="Calibri" w:hAnsi="Calibri" w:cs="Calibri"/>
          <w:color w:val="000000" w:themeColor="text1"/>
        </w:rPr>
        <w:t xml:space="preserve"> « Part de société immobilières non coté (SCI ….»</w:t>
      </w:r>
    </w:p>
    <w:p w14:paraId="4B139A09" w14:textId="7D7550E7" w:rsidR="003F446D" w:rsidRDefault="003F446D" w:rsidP="003F446D">
      <w:pPr>
        <w:spacing w:after="0"/>
        <w:rPr>
          <w:rFonts w:ascii="Calibri" w:hAnsi="Calibri" w:cs="Calibri"/>
          <w:color w:val="000000" w:themeColor="text1"/>
        </w:rPr>
      </w:pPr>
    </w:p>
    <w:p w14:paraId="18AD9F96" w14:textId="77777777" w:rsidR="00484186" w:rsidRPr="00484186" w:rsidRDefault="00484186" w:rsidP="003F446D">
      <w:pPr>
        <w:spacing w:after="0"/>
        <w:rPr>
          <w:rFonts w:ascii="Calibri" w:hAnsi="Calibri" w:cs="Calibri"/>
          <w:color w:val="000000" w:themeColor="text1"/>
        </w:rPr>
      </w:pPr>
    </w:p>
    <w:p w14:paraId="6D84E2CD" w14:textId="33420E68" w:rsidR="00E353EF" w:rsidRPr="0016165B" w:rsidRDefault="003F446D" w:rsidP="00B04DF3">
      <w:pPr>
        <w:rPr>
          <w:i/>
          <w:color w:val="1F4E79" w:themeColor="accent1" w:themeShade="80"/>
        </w:rPr>
      </w:pPr>
      <w:r w:rsidRPr="0016165B">
        <w:rPr>
          <w:b/>
          <w:color w:val="44546A" w:themeColor="text2"/>
        </w:rPr>
        <w:t>Retour des discussions en atelier </w:t>
      </w:r>
      <w:r w:rsidRPr="0016165B">
        <w:rPr>
          <w:rFonts w:ascii="Calibri" w:hAnsi="Calibri" w:cs="Calibri"/>
          <w:color w:val="000000" w:themeColor="text1"/>
        </w:rPr>
        <w:t xml:space="preserve">: </w:t>
      </w:r>
      <w:r w:rsidR="00761550" w:rsidRPr="0016165B">
        <w:rPr>
          <w:i/>
          <w:color w:val="1F4E79" w:themeColor="accent1" w:themeShade="80"/>
        </w:rPr>
        <w:t>C</w:t>
      </w:r>
      <w:r w:rsidR="00E353EF" w:rsidRPr="0016165B">
        <w:rPr>
          <w:i/>
          <w:color w:val="1F4E79" w:themeColor="accent1" w:themeShade="80"/>
        </w:rPr>
        <w:t>es données</w:t>
      </w:r>
      <w:r w:rsidR="005F66C4" w:rsidRPr="0016165B">
        <w:rPr>
          <w:i/>
          <w:color w:val="1F4E79" w:themeColor="accent1" w:themeShade="80"/>
        </w:rPr>
        <w:t xml:space="preserve"> semblent pouvoir</w:t>
      </w:r>
      <w:r w:rsidR="00B04DF3" w:rsidRPr="0016165B">
        <w:rPr>
          <w:i/>
          <w:color w:val="1F4E79" w:themeColor="accent1" w:themeShade="80"/>
        </w:rPr>
        <w:t xml:space="preserve"> </w:t>
      </w:r>
      <w:r w:rsidR="005F66C4" w:rsidRPr="0016165B">
        <w:rPr>
          <w:i/>
          <w:color w:val="1F4E79" w:themeColor="accent1" w:themeShade="80"/>
        </w:rPr>
        <w:t xml:space="preserve">être transmises par les remettants. </w:t>
      </w:r>
    </w:p>
    <w:p w14:paraId="1B57615E" w14:textId="31CB74C5" w:rsidR="006D3695" w:rsidRPr="00ED5909" w:rsidRDefault="008C5682" w:rsidP="00E762CD">
      <w:pPr>
        <w:pBdr>
          <w:top w:val="single" w:sz="4" w:space="1" w:color="auto"/>
          <w:left w:val="single" w:sz="4" w:space="4" w:color="auto"/>
          <w:bottom w:val="single" w:sz="4" w:space="1" w:color="auto"/>
          <w:right w:val="single" w:sz="4" w:space="4" w:color="auto"/>
        </w:pBdr>
        <w:spacing w:after="0"/>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36192C" w:rsidRPr="00ED5909">
        <w:rPr>
          <w:b/>
          <w:color w:val="00B050"/>
        </w:rPr>
        <w:t>Dans le cadre de la refonte de la réglementation, la BCE s’oriente vers une demande</w:t>
      </w:r>
      <w:r w:rsidR="00527CA7" w:rsidRPr="00ED5909">
        <w:rPr>
          <w:b/>
          <w:color w:val="00B050"/>
        </w:rPr>
        <w:t xml:space="preserve"> plus granulaire sur l’immobilier, notamment</w:t>
      </w:r>
      <w:r w:rsidR="0036192C" w:rsidRPr="00ED5909">
        <w:rPr>
          <w:b/>
          <w:color w:val="00B050"/>
        </w:rPr>
        <w:t xml:space="preserve"> </w:t>
      </w:r>
      <w:r w:rsidR="00C10E51">
        <w:rPr>
          <w:b/>
          <w:color w:val="00B050"/>
        </w:rPr>
        <w:t xml:space="preserve">pouvoir identifier </w:t>
      </w:r>
      <w:r w:rsidR="00C10E51" w:rsidRPr="00ED5909">
        <w:rPr>
          <w:b/>
          <w:color w:val="00B050"/>
        </w:rPr>
        <w:t>les titres immobiliers</w:t>
      </w:r>
      <w:r w:rsidR="00527CA7" w:rsidRPr="00ED5909">
        <w:rPr>
          <w:b/>
          <w:color w:val="00B050"/>
        </w:rPr>
        <w:t xml:space="preserve"> </w:t>
      </w:r>
      <w:r w:rsidR="00C10E51">
        <w:rPr>
          <w:b/>
          <w:color w:val="00B050"/>
        </w:rPr>
        <w:t xml:space="preserve">qu’ils soient cotés ou </w:t>
      </w:r>
      <w:r w:rsidR="00527CA7" w:rsidRPr="00ED5909">
        <w:rPr>
          <w:b/>
          <w:color w:val="00B050"/>
        </w:rPr>
        <w:t>non coté</w:t>
      </w:r>
      <w:r w:rsidR="00C10E51">
        <w:rPr>
          <w:b/>
          <w:color w:val="00B050"/>
        </w:rPr>
        <w:t>s</w:t>
      </w:r>
      <w:r w:rsidR="00527CA7" w:rsidRPr="00ED5909">
        <w:rPr>
          <w:b/>
          <w:color w:val="00B050"/>
        </w:rPr>
        <w:t>.</w:t>
      </w:r>
      <w:r w:rsidR="00E762CD" w:rsidRPr="00ED5909">
        <w:rPr>
          <w:b/>
          <w:color w:val="00B050"/>
        </w:rPr>
        <w:t xml:space="preserve"> </w:t>
      </w:r>
      <w:r w:rsidR="00970AF0" w:rsidRPr="00ED5909">
        <w:rPr>
          <w:b/>
          <w:color w:val="00B050"/>
        </w:rPr>
        <w:t>Les remettants ne disposent pas toujours de l’information</w:t>
      </w:r>
      <w:r w:rsidR="00213C26" w:rsidRPr="00ED5909">
        <w:rPr>
          <w:b/>
          <w:color w:val="00B050"/>
        </w:rPr>
        <w:t>.</w:t>
      </w:r>
      <w:r w:rsidR="00E762CD" w:rsidRPr="00ED5909">
        <w:rPr>
          <w:b/>
          <w:color w:val="00B050"/>
        </w:rPr>
        <w:t xml:space="preserve"> </w:t>
      </w:r>
      <w:r w:rsidR="00213C26" w:rsidRPr="00ED5909">
        <w:rPr>
          <w:b/>
          <w:color w:val="00B050"/>
        </w:rPr>
        <w:t>De plus, i</w:t>
      </w:r>
      <w:r w:rsidR="00E762CD" w:rsidRPr="00ED5909">
        <w:rPr>
          <w:b/>
          <w:color w:val="00B050"/>
        </w:rPr>
        <w:t xml:space="preserve">l </w:t>
      </w:r>
      <w:r w:rsidR="0096383D" w:rsidRPr="00ED5909">
        <w:rPr>
          <w:b/>
          <w:color w:val="00B050"/>
        </w:rPr>
        <w:t>existe plusieurs référentiels pour définir une activité immobilière</w:t>
      </w:r>
      <w:r w:rsidR="00E762CD" w:rsidRPr="00ED5909">
        <w:rPr>
          <w:b/>
          <w:color w:val="00B050"/>
        </w:rPr>
        <w:t xml:space="preserve">. </w:t>
      </w:r>
    </w:p>
    <w:p w14:paraId="4DC16F72" w14:textId="44FD2DD3" w:rsidR="00E762CD" w:rsidRPr="00ED5909" w:rsidRDefault="00E762CD" w:rsidP="00E762CD">
      <w:pPr>
        <w:pBdr>
          <w:top w:val="single" w:sz="4" w:space="1" w:color="auto"/>
          <w:left w:val="single" w:sz="4" w:space="4" w:color="auto"/>
          <w:bottom w:val="single" w:sz="4" w:space="1" w:color="auto"/>
          <w:right w:val="single" w:sz="4" w:space="4" w:color="auto"/>
        </w:pBdr>
        <w:spacing w:after="0"/>
        <w:rPr>
          <w:color w:val="806000" w:themeColor="accent4" w:themeShade="80"/>
        </w:rPr>
      </w:pPr>
      <w:r w:rsidRPr="00ED5909">
        <w:rPr>
          <w:b/>
          <w:color w:val="00B050"/>
        </w:rPr>
        <w:t>Ce sujet est à étudier côté BDF</w:t>
      </w:r>
      <w:r w:rsidR="00527CA7" w:rsidRPr="00ED5909">
        <w:rPr>
          <w:b/>
          <w:color w:val="00B050"/>
        </w:rPr>
        <w:t xml:space="preserve"> pour s’appuyer sur un référentiel</w:t>
      </w:r>
      <w:r w:rsidR="00C10E51">
        <w:rPr>
          <w:b/>
          <w:color w:val="00B050"/>
        </w:rPr>
        <w:t xml:space="preserve"> « officiel » pour les futures déclarations</w:t>
      </w:r>
      <w:r w:rsidR="00527CA7" w:rsidRPr="00ED5909">
        <w:rPr>
          <w:b/>
          <w:color w:val="00B050"/>
        </w:rPr>
        <w:t>.</w:t>
      </w:r>
    </w:p>
    <w:p w14:paraId="123CAD3F" w14:textId="77777777" w:rsidR="00C10E51" w:rsidRDefault="00C10E51" w:rsidP="00E762CD">
      <w:pPr>
        <w:spacing w:before="120" w:after="0"/>
        <w:rPr>
          <w:color w:val="ED7D31" w:themeColor="accent2"/>
        </w:rPr>
      </w:pPr>
    </w:p>
    <w:p w14:paraId="0D119E31" w14:textId="19454A36" w:rsidR="003F446D" w:rsidRPr="0011370A" w:rsidRDefault="0011370A" w:rsidP="00E762CD">
      <w:pPr>
        <w:spacing w:before="120" w:after="0"/>
        <w:rPr>
          <w:color w:val="ED7D31" w:themeColor="accent2"/>
        </w:rPr>
      </w:pPr>
      <w:r>
        <w:rPr>
          <w:color w:val="ED7D31" w:themeColor="accent2"/>
        </w:rPr>
        <w:t>-</w:t>
      </w:r>
      <w:r w:rsidR="001304E5" w:rsidRPr="004B0C65">
        <w:rPr>
          <w:color w:val="ED7D31" w:themeColor="accent2"/>
          <w:sz w:val="24"/>
        </w:rPr>
        <w:t>Déclaration de l’actif brut :</w:t>
      </w:r>
      <w:r w:rsidR="001304E5" w:rsidRPr="0011370A">
        <w:rPr>
          <w:color w:val="ED7D31" w:themeColor="accent2"/>
        </w:rPr>
        <w:t xml:space="preserve"> </w:t>
      </w:r>
    </w:p>
    <w:p w14:paraId="40336B18" w14:textId="389E8D7C" w:rsidR="003F446D" w:rsidRDefault="00ED4902" w:rsidP="0011370A">
      <w:pPr>
        <w:spacing w:after="0"/>
        <w:rPr>
          <w:rFonts w:ascii="Calibri" w:hAnsi="Calibri" w:cs="Calibri"/>
          <w:color w:val="000000" w:themeColor="text1"/>
        </w:rPr>
      </w:pPr>
      <w:r>
        <w:t>L’actif brut</w:t>
      </w:r>
      <w:r w:rsidR="005F66C4">
        <w:t xml:space="preserve"> correspond </w:t>
      </w:r>
      <w:r w:rsidR="00562FBA">
        <w:t>à l’actif inscrit au bilan + celui détenu indirectement par le fonds (via endettement ou avance</w:t>
      </w:r>
      <w:r w:rsidR="00F13088">
        <w:t xml:space="preserve"> contractées par les SCI</w:t>
      </w:r>
      <w:r w:rsidR="00562FBA">
        <w:t>)</w:t>
      </w:r>
      <w:r>
        <w:t xml:space="preserve">. Il est plus représentatif de l’investissement réel opéré par le fonds. </w:t>
      </w:r>
    </w:p>
    <w:p w14:paraId="02D48F14" w14:textId="77777777" w:rsidR="00ED4902" w:rsidRDefault="00ED4902" w:rsidP="00ED4902">
      <w:pPr>
        <w:rPr>
          <w:b/>
          <w:color w:val="44546A" w:themeColor="text2"/>
          <w:sz w:val="24"/>
        </w:rPr>
      </w:pPr>
    </w:p>
    <w:p w14:paraId="1FD1888F" w14:textId="49F46B44" w:rsidR="001304E5" w:rsidRPr="0016165B" w:rsidRDefault="003F446D" w:rsidP="00ED4902">
      <w:pPr>
        <w:rPr>
          <w:i/>
          <w:color w:val="1F4E79" w:themeColor="accent1" w:themeShade="80"/>
        </w:rPr>
      </w:pPr>
      <w:r w:rsidRPr="0016165B">
        <w:rPr>
          <w:b/>
          <w:color w:val="44546A" w:themeColor="text2"/>
        </w:rPr>
        <w:t>Retour des discussions en atelier </w:t>
      </w:r>
      <w:r w:rsidRPr="0016165B">
        <w:rPr>
          <w:rFonts w:ascii="Calibri" w:hAnsi="Calibri" w:cs="Calibri"/>
          <w:color w:val="000000" w:themeColor="text1"/>
        </w:rPr>
        <w:t xml:space="preserve">: </w:t>
      </w:r>
      <w:r w:rsidR="001304E5" w:rsidRPr="0016165B">
        <w:rPr>
          <w:i/>
          <w:color w:val="1F4E79" w:themeColor="accent1" w:themeShade="80"/>
        </w:rPr>
        <w:t>Ces données se retrouvent dans le reporting AIFM adressé par les sociétés de gestion à l’AMF.</w:t>
      </w:r>
      <w:r w:rsidR="009B024B" w:rsidRPr="0016165B">
        <w:rPr>
          <w:i/>
          <w:color w:val="1F4E79" w:themeColor="accent1" w:themeShade="80"/>
        </w:rPr>
        <w:t xml:space="preserve"> </w:t>
      </w:r>
    </w:p>
    <w:p w14:paraId="6C9B8836" w14:textId="77777777" w:rsidR="003F446D" w:rsidRPr="003F446D" w:rsidRDefault="003F446D" w:rsidP="003F446D">
      <w:pPr>
        <w:spacing w:after="0"/>
        <w:rPr>
          <w:color w:val="ED7D31" w:themeColor="accent2"/>
        </w:rPr>
      </w:pPr>
    </w:p>
    <w:p w14:paraId="379BE5A9" w14:textId="3A9DFD93" w:rsidR="00DE5792" w:rsidRPr="0016165B" w:rsidRDefault="0011370A" w:rsidP="0011370A">
      <w:pPr>
        <w:spacing w:after="0"/>
        <w:rPr>
          <w:color w:val="ED7D31" w:themeColor="accent2"/>
          <w:sz w:val="24"/>
        </w:rPr>
      </w:pPr>
      <w:r w:rsidRPr="0016165B">
        <w:rPr>
          <w:color w:val="ED7D31" w:themeColor="accent2"/>
          <w:sz w:val="24"/>
        </w:rPr>
        <w:t>-</w:t>
      </w:r>
      <w:r w:rsidR="00DE5792" w:rsidRPr="0016165B">
        <w:rPr>
          <w:color w:val="ED7D31" w:themeColor="accent2"/>
          <w:sz w:val="24"/>
        </w:rPr>
        <w:t xml:space="preserve">Différentes valeurs liquidatives </w:t>
      </w:r>
    </w:p>
    <w:p w14:paraId="5A15D10F" w14:textId="77777777" w:rsidR="00415C55" w:rsidRPr="0011370A" w:rsidRDefault="00415C55" w:rsidP="0011370A">
      <w:pPr>
        <w:spacing w:after="0"/>
        <w:rPr>
          <w:color w:val="ED7D31" w:themeColor="accent2"/>
        </w:rPr>
      </w:pPr>
    </w:p>
    <w:p w14:paraId="220CAEA7" w14:textId="1506FDF2" w:rsidR="00DE5792" w:rsidRPr="003C34C2" w:rsidRDefault="00DE5792" w:rsidP="003C34C2">
      <w:r w:rsidRPr="003C34C2">
        <w:t xml:space="preserve">La demande </w:t>
      </w:r>
      <w:r w:rsidR="003F446D">
        <w:t xml:space="preserve">de la BDF </w:t>
      </w:r>
      <w:r w:rsidRPr="003C34C2">
        <w:t xml:space="preserve">concerne les différentes valeurs liquidatives sur lesquelles communiquent </w:t>
      </w:r>
      <w:r w:rsidR="005F32E9" w:rsidRPr="003C34C2">
        <w:t>les sociétés de gestion et l’ASPIM</w:t>
      </w:r>
      <w:r w:rsidR="001C5F1E">
        <w:t>. Il est envisagé</w:t>
      </w:r>
      <w:r w:rsidR="003F446D">
        <w:t xml:space="preserve"> de demander pour la collecte</w:t>
      </w:r>
      <w:r w:rsidR="0011370A">
        <w:t xml:space="preserve"> (en </w:t>
      </w:r>
      <w:r w:rsidR="00281FF5">
        <w:t xml:space="preserve">plus </w:t>
      </w:r>
      <w:r w:rsidR="0011370A">
        <w:t xml:space="preserve">de la valeur de réalisation servant </w:t>
      </w:r>
      <w:r w:rsidR="00281FF5">
        <w:t xml:space="preserve">à l’établissement du </w:t>
      </w:r>
      <w:r w:rsidR="0011370A">
        <w:t>bilan)</w:t>
      </w:r>
      <w:r w:rsidR="003F446D">
        <w:t> :</w:t>
      </w:r>
    </w:p>
    <w:p w14:paraId="05C1DABB" w14:textId="1C1C7A74" w:rsidR="005F32E9" w:rsidRPr="00FE57C7" w:rsidRDefault="007C779E" w:rsidP="003F446D">
      <w:pPr>
        <w:pStyle w:val="Paragraphedeliste"/>
        <w:numPr>
          <w:ilvl w:val="0"/>
          <w:numId w:val="12"/>
        </w:numPr>
        <w:spacing w:after="0"/>
      </w:pPr>
      <w:r w:rsidRPr="00FE57C7">
        <w:t>Prix</w:t>
      </w:r>
      <w:r w:rsidR="005F32E9" w:rsidRPr="00FE57C7">
        <w:t xml:space="preserve"> de souscription</w:t>
      </w:r>
      <w:r w:rsidRPr="00FE57C7">
        <w:t xml:space="preserve"> </w:t>
      </w:r>
    </w:p>
    <w:p w14:paraId="37AD405E" w14:textId="7965D8C6" w:rsidR="007C779E" w:rsidRPr="00FE57C7" w:rsidRDefault="007C779E" w:rsidP="003F446D">
      <w:pPr>
        <w:pStyle w:val="Paragraphedeliste"/>
        <w:numPr>
          <w:ilvl w:val="0"/>
          <w:numId w:val="12"/>
        </w:numPr>
        <w:spacing w:after="0"/>
      </w:pPr>
      <w:r w:rsidRPr="00FE57C7">
        <w:t>Valeur de retrait</w:t>
      </w:r>
    </w:p>
    <w:p w14:paraId="39B66699" w14:textId="01E2E1DA" w:rsidR="005F32E9" w:rsidRPr="00FE57C7" w:rsidRDefault="005F32E9" w:rsidP="003F446D">
      <w:pPr>
        <w:pStyle w:val="Paragraphedeliste"/>
        <w:numPr>
          <w:ilvl w:val="0"/>
          <w:numId w:val="12"/>
        </w:numPr>
        <w:spacing w:after="0"/>
      </w:pPr>
      <w:r w:rsidRPr="00FE57C7">
        <w:lastRenderedPageBreak/>
        <w:t>Valeur de reconstitution</w:t>
      </w:r>
    </w:p>
    <w:p w14:paraId="48C805B5" w14:textId="307AEC28" w:rsidR="007C779E" w:rsidRDefault="007C779E" w:rsidP="003C34C2">
      <w:pPr>
        <w:rPr>
          <w:rFonts w:ascii="Calibri" w:hAnsi="Calibri" w:cs="Calibri"/>
          <w:color w:val="000000" w:themeColor="text1"/>
        </w:rPr>
      </w:pPr>
    </w:p>
    <w:p w14:paraId="747934E1" w14:textId="082F7571" w:rsidR="001304E5" w:rsidRPr="0016165B" w:rsidRDefault="003F446D" w:rsidP="0011370A">
      <w:pPr>
        <w:rPr>
          <w:i/>
          <w:color w:val="1F4E79" w:themeColor="accent1" w:themeShade="80"/>
        </w:rPr>
      </w:pPr>
      <w:r w:rsidRPr="0016165B">
        <w:rPr>
          <w:b/>
          <w:color w:val="44546A" w:themeColor="text2"/>
        </w:rPr>
        <w:t>Retour des discussions en atelier</w:t>
      </w:r>
      <w:r w:rsidR="002C6829" w:rsidRPr="0016165B">
        <w:rPr>
          <w:b/>
          <w:color w:val="44546A" w:themeColor="text2"/>
        </w:rPr>
        <w:t> </w:t>
      </w:r>
      <w:r w:rsidR="002C6829" w:rsidRPr="0016165B">
        <w:rPr>
          <w:rFonts w:ascii="Calibri" w:hAnsi="Calibri" w:cs="Calibri"/>
          <w:color w:val="000000" w:themeColor="text1"/>
        </w:rPr>
        <w:t xml:space="preserve">: </w:t>
      </w:r>
      <w:r w:rsidR="001304E5" w:rsidRPr="0016165B">
        <w:rPr>
          <w:i/>
          <w:color w:val="1F4E79" w:themeColor="accent1" w:themeShade="80"/>
        </w:rPr>
        <w:t xml:space="preserve">Ce sont les sociétés de gestion qui calculent </w:t>
      </w:r>
      <w:r w:rsidR="00F13088">
        <w:rPr>
          <w:i/>
          <w:color w:val="1F4E79" w:themeColor="accent1" w:themeShade="80"/>
        </w:rPr>
        <w:t>c</w:t>
      </w:r>
      <w:r w:rsidR="00F13088" w:rsidRPr="0016165B">
        <w:rPr>
          <w:i/>
          <w:color w:val="1F4E79" w:themeColor="accent1" w:themeShade="80"/>
        </w:rPr>
        <w:t xml:space="preserve">es </w:t>
      </w:r>
      <w:r w:rsidR="001304E5" w:rsidRPr="0016165B">
        <w:rPr>
          <w:i/>
          <w:color w:val="1F4E79" w:themeColor="accent1" w:themeShade="80"/>
        </w:rPr>
        <w:t xml:space="preserve">différentes valeurs et sont en mesure de les fournir. Il est précisé que l’ASPIM/IEIF disposent de </w:t>
      </w:r>
      <w:r w:rsidR="00F13088">
        <w:rPr>
          <w:i/>
          <w:color w:val="1F4E79" w:themeColor="accent1" w:themeShade="80"/>
        </w:rPr>
        <w:t>c</w:t>
      </w:r>
      <w:r w:rsidR="00F13088" w:rsidRPr="0016165B">
        <w:rPr>
          <w:i/>
          <w:color w:val="1F4E79" w:themeColor="accent1" w:themeShade="80"/>
        </w:rPr>
        <w:t xml:space="preserve">es </w:t>
      </w:r>
      <w:r w:rsidR="001304E5" w:rsidRPr="0016165B">
        <w:rPr>
          <w:i/>
          <w:color w:val="1F4E79" w:themeColor="accent1" w:themeShade="80"/>
        </w:rPr>
        <w:t>valeurs</w:t>
      </w:r>
      <w:r w:rsidR="00F13088">
        <w:rPr>
          <w:i/>
          <w:color w:val="1F4E79" w:themeColor="accent1" w:themeShade="80"/>
        </w:rPr>
        <w:t>,</w:t>
      </w:r>
      <w:r w:rsidR="00F13088" w:rsidRPr="0016165B">
        <w:rPr>
          <w:i/>
          <w:color w:val="1F4E79" w:themeColor="accent1" w:themeShade="80"/>
        </w:rPr>
        <w:t xml:space="preserve"> </w:t>
      </w:r>
      <w:r w:rsidR="00F13088">
        <w:rPr>
          <w:i/>
          <w:color w:val="1F4E79" w:themeColor="accent1" w:themeShade="80"/>
        </w:rPr>
        <w:t>l</w:t>
      </w:r>
      <w:r w:rsidR="00F13088" w:rsidRPr="0016165B">
        <w:rPr>
          <w:i/>
          <w:color w:val="1F4E79" w:themeColor="accent1" w:themeShade="80"/>
        </w:rPr>
        <w:t xml:space="preserve">’AMF </w:t>
      </w:r>
      <w:r w:rsidR="0011370A" w:rsidRPr="0016165B">
        <w:rPr>
          <w:i/>
          <w:color w:val="1F4E79" w:themeColor="accent1" w:themeShade="80"/>
        </w:rPr>
        <w:t>potentiellement également</w:t>
      </w:r>
      <w:r w:rsidR="00281FF5">
        <w:rPr>
          <w:i/>
          <w:color w:val="1F4E79" w:themeColor="accent1" w:themeShade="80"/>
        </w:rPr>
        <w:t>.</w:t>
      </w:r>
      <w:r w:rsidR="0011370A" w:rsidRPr="0016165B">
        <w:rPr>
          <w:i/>
          <w:color w:val="1F4E79" w:themeColor="accent1" w:themeShade="80"/>
        </w:rPr>
        <w:t xml:space="preserve"> </w:t>
      </w:r>
      <w:r w:rsidR="001304E5" w:rsidRPr="0016165B">
        <w:rPr>
          <w:i/>
          <w:color w:val="1F4E79" w:themeColor="accent1" w:themeShade="80"/>
        </w:rPr>
        <w:t xml:space="preserve">La BDF se rapprochera de ces acteurs pour </w:t>
      </w:r>
      <w:r w:rsidR="00281FF5">
        <w:rPr>
          <w:i/>
          <w:color w:val="1F4E79" w:themeColor="accent1" w:themeShade="80"/>
        </w:rPr>
        <w:t xml:space="preserve">vérifier si elle peut </w:t>
      </w:r>
      <w:r w:rsidR="001304E5" w:rsidRPr="0016165B">
        <w:rPr>
          <w:i/>
          <w:color w:val="1F4E79" w:themeColor="accent1" w:themeShade="80"/>
        </w:rPr>
        <w:t xml:space="preserve">obtenir </w:t>
      </w:r>
      <w:r w:rsidR="0011370A" w:rsidRPr="0016165B">
        <w:rPr>
          <w:i/>
          <w:color w:val="1F4E79" w:themeColor="accent1" w:themeShade="80"/>
        </w:rPr>
        <w:t>c</w:t>
      </w:r>
      <w:r w:rsidR="001304E5" w:rsidRPr="0016165B">
        <w:rPr>
          <w:i/>
          <w:color w:val="1F4E79" w:themeColor="accent1" w:themeShade="80"/>
        </w:rPr>
        <w:t>es différentes valeurs.</w:t>
      </w:r>
      <w:r w:rsidR="0016165B">
        <w:rPr>
          <w:i/>
          <w:color w:val="1F4E79" w:themeColor="accent1" w:themeShade="80"/>
        </w:rPr>
        <w:t xml:space="preserve"> </w:t>
      </w:r>
    </w:p>
    <w:p w14:paraId="0EA64AD5" w14:textId="2CACB38E" w:rsidR="006D3695" w:rsidRPr="00ED5909" w:rsidRDefault="008C5682" w:rsidP="00F17B2A">
      <w:pPr>
        <w:pBdr>
          <w:top w:val="single" w:sz="4" w:space="1" w:color="auto"/>
          <w:left w:val="single" w:sz="4" w:space="4" w:color="auto"/>
          <w:bottom w:val="single" w:sz="4" w:space="1" w:color="auto"/>
          <w:right w:val="single" w:sz="4" w:space="4" w:color="auto"/>
        </w:pBdr>
        <w:spacing w:after="0"/>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F17B2A" w:rsidRPr="00ED5909">
        <w:rPr>
          <w:b/>
          <w:color w:val="00B050"/>
        </w:rPr>
        <w:t xml:space="preserve">La Banque de France va se rapprocher de l’ASPIM </w:t>
      </w:r>
      <w:r w:rsidR="00527CA7" w:rsidRPr="00ED5909">
        <w:rPr>
          <w:b/>
          <w:color w:val="00B050"/>
        </w:rPr>
        <w:t xml:space="preserve">ou AMF </w:t>
      </w:r>
      <w:r w:rsidR="00F17B2A" w:rsidRPr="00ED5909">
        <w:rPr>
          <w:b/>
          <w:color w:val="00B050"/>
        </w:rPr>
        <w:t>pour récupérer ces données</w:t>
      </w:r>
      <w:r w:rsidR="007C41F3" w:rsidRPr="00ED5909">
        <w:rPr>
          <w:b/>
          <w:color w:val="00B050"/>
        </w:rPr>
        <w:t>.</w:t>
      </w:r>
    </w:p>
    <w:p w14:paraId="1BE8A0F4" w14:textId="77777777" w:rsidR="00C10E51" w:rsidRDefault="00C10E51" w:rsidP="00F17B2A">
      <w:pPr>
        <w:spacing w:before="120" w:after="0"/>
        <w:rPr>
          <w:color w:val="ED7D31" w:themeColor="accent2"/>
          <w:sz w:val="24"/>
        </w:rPr>
      </w:pPr>
    </w:p>
    <w:p w14:paraId="53F04931" w14:textId="77777777" w:rsidR="00C10E51" w:rsidRDefault="00C10E51" w:rsidP="00F17B2A">
      <w:pPr>
        <w:spacing w:before="120" w:after="0"/>
        <w:rPr>
          <w:color w:val="ED7D31" w:themeColor="accent2"/>
          <w:sz w:val="24"/>
        </w:rPr>
      </w:pPr>
    </w:p>
    <w:p w14:paraId="5EB49A8A" w14:textId="2F18F27B" w:rsidR="00385EB3" w:rsidRDefault="00385EB3" w:rsidP="00F17B2A">
      <w:pPr>
        <w:spacing w:before="120" w:after="0"/>
        <w:rPr>
          <w:color w:val="ED7D31" w:themeColor="accent2"/>
          <w:sz w:val="24"/>
        </w:rPr>
      </w:pPr>
      <w:r w:rsidRPr="0016165B">
        <w:rPr>
          <w:color w:val="ED7D31" w:themeColor="accent2"/>
          <w:sz w:val="24"/>
        </w:rPr>
        <w:t>-</w:t>
      </w:r>
      <w:r w:rsidR="008C5682">
        <w:rPr>
          <w:color w:val="ED7D31" w:themeColor="accent2"/>
          <w:sz w:val="24"/>
        </w:rPr>
        <w:t>catégorie</w:t>
      </w:r>
      <w:r>
        <w:rPr>
          <w:color w:val="ED7D31" w:themeColor="accent2"/>
          <w:sz w:val="24"/>
        </w:rPr>
        <w:t xml:space="preserve"> précise du fonds</w:t>
      </w:r>
      <w:r w:rsidRPr="0016165B">
        <w:rPr>
          <w:color w:val="ED7D31" w:themeColor="accent2"/>
          <w:sz w:val="24"/>
        </w:rPr>
        <w:t xml:space="preserve"> </w:t>
      </w:r>
      <w:r>
        <w:rPr>
          <w:color w:val="ED7D31" w:themeColor="accent2"/>
          <w:sz w:val="24"/>
        </w:rPr>
        <w:t>immobiliers</w:t>
      </w:r>
    </w:p>
    <w:p w14:paraId="672738CC" w14:textId="2E6EC8DE" w:rsidR="00385EB3" w:rsidRDefault="00385EB3" w:rsidP="00385EB3">
      <w:pPr>
        <w:spacing w:after="0"/>
        <w:rPr>
          <w:color w:val="ED7D31" w:themeColor="accent2"/>
          <w:sz w:val="24"/>
        </w:rPr>
      </w:pPr>
    </w:p>
    <w:p w14:paraId="1527D196" w14:textId="75E5BBC7" w:rsidR="00385EB3" w:rsidRDefault="00385EB3" w:rsidP="00385EB3">
      <w:r w:rsidRPr="003C34C2">
        <w:t xml:space="preserve">La demande </w:t>
      </w:r>
      <w:r>
        <w:t xml:space="preserve">de la BDF </w:t>
      </w:r>
      <w:r w:rsidRPr="003C34C2">
        <w:t xml:space="preserve">concerne </w:t>
      </w:r>
      <w:r w:rsidR="006346D4">
        <w:t>une décomposition plus fine des états civils, pour avoir les sous catégories d’OPCI</w:t>
      </w:r>
      <w:r>
        <w:t xml:space="preserve"> (OPPCI, OPCI grands publics</w:t>
      </w:r>
      <w:r w:rsidR="006346D4">
        <w:t>…</w:t>
      </w:r>
      <w:r>
        <w:t>) et SCPI (fiscale</w:t>
      </w:r>
      <w:r w:rsidR="006346D4">
        <w:t>, rendements…)</w:t>
      </w:r>
      <w:r>
        <w:t> :</w:t>
      </w:r>
    </w:p>
    <w:p w14:paraId="062518E1" w14:textId="6292D018" w:rsidR="006346D4" w:rsidRPr="0016165B" w:rsidRDefault="006346D4" w:rsidP="006346D4">
      <w:pPr>
        <w:rPr>
          <w:i/>
          <w:color w:val="1F4E79" w:themeColor="accent1" w:themeShade="80"/>
        </w:rPr>
      </w:pPr>
      <w:r w:rsidRPr="0016165B">
        <w:rPr>
          <w:b/>
          <w:color w:val="44546A" w:themeColor="text2"/>
        </w:rPr>
        <w:t>Retour des discussions en atelier </w:t>
      </w:r>
      <w:r w:rsidRPr="0016165B">
        <w:rPr>
          <w:rFonts w:ascii="Calibri" w:hAnsi="Calibri" w:cs="Calibri"/>
          <w:color w:val="000000" w:themeColor="text1"/>
        </w:rPr>
        <w:t xml:space="preserve">: </w:t>
      </w:r>
      <w:r w:rsidRPr="0016165B">
        <w:rPr>
          <w:i/>
          <w:color w:val="1F4E79" w:themeColor="accent1" w:themeShade="80"/>
        </w:rPr>
        <w:t xml:space="preserve">Ces données semblent pouvoir être </w:t>
      </w:r>
      <w:r>
        <w:rPr>
          <w:i/>
          <w:color w:val="1F4E79" w:themeColor="accent1" w:themeShade="80"/>
        </w:rPr>
        <w:t xml:space="preserve">récupérés via l’AMF </w:t>
      </w:r>
      <w:r w:rsidR="008C5682">
        <w:rPr>
          <w:i/>
          <w:color w:val="1F4E79" w:themeColor="accent1" w:themeShade="80"/>
        </w:rPr>
        <w:t>ou association de professionnel.</w:t>
      </w:r>
    </w:p>
    <w:p w14:paraId="004715A2" w14:textId="5EB5345A" w:rsidR="00F17B2A" w:rsidRPr="00ED5909" w:rsidRDefault="008C5682" w:rsidP="00F17B2A">
      <w:pPr>
        <w:pBdr>
          <w:top w:val="single" w:sz="4" w:space="1" w:color="auto"/>
          <w:left w:val="single" w:sz="4" w:space="4" w:color="auto"/>
          <w:bottom w:val="single" w:sz="4" w:space="1" w:color="auto"/>
          <w:right w:val="single" w:sz="4" w:space="4" w:color="auto"/>
        </w:pBdr>
        <w:spacing w:after="0"/>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F17B2A" w:rsidRPr="00ED5909">
        <w:rPr>
          <w:b/>
          <w:color w:val="00B050"/>
        </w:rPr>
        <w:t>La Banque de France va se rapprocher de</w:t>
      </w:r>
      <w:r w:rsidR="00527CA7" w:rsidRPr="00ED5909">
        <w:rPr>
          <w:b/>
          <w:color w:val="00B050"/>
        </w:rPr>
        <w:t xml:space="preserve"> l’ASPIM ou</w:t>
      </w:r>
      <w:r w:rsidR="00F17B2A" w:rsidRPr="00ED5909">
        <w:rPr>
          <w:b/>
          <w:color w:val="00B050"/>
        </w:rPr>
        <w:t xml:space="preserve"> l’AMF pour récupérer ces données</w:t>
      </w:r>
      <w:r w:rsidR="007C41F3" w:rsidRPr="00ED5909">
        <w:rPr>
          <w:b/>
          <w:color w:val="00B050"/>
        </w:rPr>
        <w:t>.</w:t>
      </w:r>
    </w:p>
    <w:p w14:paraId="46553804" w14:textId="007EA971" w:rsidR="0011370A" w:rsidRPr="0016165B" w:rsidRDefault="0011370A" w:rsidP="00F17B2A">
      <w:pPr>
        <w:spacing w:before="120"/>
        <w:rPr>
          <w:color w:val="ED7D31" w:themeColor="accent2"/>
          <w:sz w:val="24"/>
        </w:rPr>
      </w:pPr>
      <w:r w:rsidRPr="0016165B">
        <w:rPr>
          <w:color w:val="ED7D31" w:themeColor="accent2"/>
          <w:sz w:val="24"/>
        </w:rPr>
        <w:t xml:space="preserve">-Avance en comptes courants </w:t>
      </w:r>
    </w:p>
    <w:p w14:paraId="608F6001" w14:textId="719EC6B8" w:rsidR="006D3695" w:rsidRDefault="00F13088" w:rsidP="00415C55">
      <w:pPr>
        <w:rPr>
          <w:rFonts w:ascii="Calibri" w:hAnsi="Calibri" w:cs="Calibri"/>
          <w:color w:val="000000" w:themeColor="text1"/>
        </w:rPr>
      </w:pPr>
      <w:r>
        <w:rPr>
          <w:rFonts w:ascii="Calibri" w:hAnsi="Calibri" w:cs="Calibri"/>
          <w:color w:val="000000" w:themeColor="text1"/>
        </w:rPr>
        <w:t>L</w:t>
      </w:r>
      <w:r w:rsidR="006D3695" w:rsidRPr="003C34C2">
        <w:rPr>
          <w:rFonts w:ascii="Calibri" w:hAnsi="Calibri" w:cs="Calibri"/>
          <w:color w:val="000000" w:themeColor="text1"/>
        </w:rPr>
        <w:t>es avances en comptes courant ne sont pas isolé</w:t>
      </w:r>
      <w:r w:rsidR="00281FF5">
        <w:rPr>
          <w:rFonts w:ascii="Calibri" w:hAnsi="Calibri" w:cs="Calibri"/>
          <w:color w:val="000000" w:themeColor="text1"/>
        </w:rPr>
        <w:t>e</w:t>
      </w:r>
      <w:r w:rsidR="006D3695" w:rsidRPr="003C34C2">
        <w:rPr>
          <w:rFonts w:ascii="Calibri" w:hAnsi="Calibri" w:cs="Calibri"/>
          <w:color w:val="000000" w:themeColor="text1"/>
        </w:rPr>
        <w:t>s et sont logé</w:t>
      </w:r>
      <w:r w:rsidR="00281FF5">
        <w:rPr>
          <w:rFonts w:ascii="Calibri" w:hAnsi="Calibri" w:cs="Calibri"/>
          <w:color w:val="000000" w:themeColor="text1"/>
        </w:rPr>
        <w:t>e</w:t>
      </w:r>
      <w:r w:rsidR="006D3695" w:rsidRPr="003C34C2">
        <w:rPr>
          <w:rFonts w:ascii="Calibri" w:hAnsi="Calibri" w:cs="Calibri"/>
          <w:color w:val="000000" w:themeColor="text1"/>
        </w:rPr>
        <w:t xml:space="preserve">s dans le compte global de dépôts. </w:t>
      </w:r>
      <w:r w:rsidR="006D3695" w:rsidRPr="0011370A">
        <w:rPr>
          <w:rFonts w:ascii="Calibri" w:hAnsi="Calibri" w:cs="Calibri"/>
          <w:color w:val="000000" w:themeColor="text1"/>
        </w:rPr>
        <w:t>Il est prévu de les isoler dans un compte à part entière (au même titre que pour les fonds à risques, compte 366000)</w:t>
      </w:r>
    </w:p>
    <w:p w14:paraId="7E9C784F" w14:textId="77777777" w:rsidR="001C5F1E" w:rsidRPr="002C6829" w:rsidRDefault="001C5F1E" w:rsidP="002C6829">
      <w:pPr>
        <w:ind w:firstLine="708"/>
        <w:rPr>
          <w:i/>
          <w:color w:val="1F4E79" w:themeColor="accent1" w:themeShade="80"/>
          <w:sz w:val="20"/>
        </w:rPr>
      </w:pPr>
    </w:p>
    <w:p w14:paraId="227C8ECF" w14:textId="0F776933" w:rsidR="00B04DF3" w:rsidRPr="00D06400" w:rsidRDefault="0011370A" w:rsidP="0011370A">
      <w:pPr>
        <w:pStyle w:val="Paragraphedeliste"/>
        <w:numPr>
          <w:ilvl w:val="1"/>
          <w:numId w:val="3"/>
        </w:numPr>
        <w:rPr>
          <w:b/>
          <w:color w:val="808080" w:themeColor="background1" w:themeShade="80"/>
          <w:sz w:val="28"/>
          <w:szCs w:val="26"/>
        </w:rPr>
      </w:pPr>
      <w:r w:rsidRPr="00D06400">
        <w:rPr>
          <w:b/>
          <w:color w:val="808080" w:themeColor="background1" w:themeShade="80"/>
          <w:sz w:val="28"/>
          <w:szCs w:val="26"/>
        </w:rPr>
        <w:t>Ajouts de collecte spécifiques</w:t>
      </w:r>
      <w:r w:rsidR="00B04DF3" w:rsidRPr="00D06400">
        <w:rPr>
          <w:b/>
          <w:color w:val="808080" w:themeColor="background1" w:themeShade="80"/>
          <w:sz w:val="28"/>
          <w:szCs w:val="26"/>
        </w:rPr>
        <w:t xml:space="preserve"> </w:t>
      </w:r>
      <w:r w:rsidR="006D3695" w:rsidRPr="00D06400">
        <w:rPr>
          <w:b/>
          <w:color w:val="808080" w:themeColor="background1" w:themeShade="80"/>
          <w:sz w:val="28"/>
          <w:szCs w:val="26"/>
        </w:rPr>
        <w:t>sur fonds à risques</w:t>
      </w:r>
    </w:p>
    <w:p w14:paraId="5D932873" w14:textId="77777777" w:rsidR="002C6829" w:rsidRDefault="002C6829" w:rsidP="00D64020">
      <w:pPr>
        <w:spacing w:after="0"/>
      </w:pPr>
    </w:p>
    <w:p w14:paraId="469F9F2A" w14:textId="3864DA13" w:rsidR="0044193D" w:rsidRPr="003C34C2" w:rsidRDefault="0044193D" w:rsidP="00D64020">
      <w:pPr>
        <w:spacing w:after="0"/>
      </w:pPr>
      <w:r w:rsidRPr="003C34C2">
        <w:t xml:space="preserve">Les fonds </w:t>
      </w:r>
      <w:r w:rsidR="00151983">
        <w:t>concernés</w:t>
      </w:r>
      <w:r w:rsidR="00151983" w:rsidRPr="003C34C2">
        <w:t xml:space="preserve"> </w:t>
      </w:r>
      <w:r w:rsidRPr="003C34C2">
        <w:t xml:space="preserve">sont les </w:t>
      </w:r>
    </w:p>
    <w:p w14:paraId="19333CEA" w14:textId="73C03D2C" w:rsidR="0044193D" w:rsidRPr="003C34C2" w:rsidRDefault="0044193D" w:rsidP="00833809">
      <w:pPr>
        <w:pStyle w:val="Paragraphedeliste"/>
        <w:numPr>
          <w:ilvl w:val="0"/>
          <w:numId w:val="12"/>
        </w:numPr>
        <w:spacing w:after="0"/>
      </w:pPr>
      <w:r w:rsidRPr="003C34C2">
        <w:t>Fonds commun de placement à risques (FCPR)</w:t>
      </w:r>
    </w:p>
    <w:p w14:paraId="2470EA11" w14:textId="21BB911C" w:rsidR="0044193D" w:rsidRPr="003C34C2" w:rsidRDefault="0044193D" w:rsidP="00833809">
      <w:pPr>
        <w:pStyle w:val="Paragraphedeliste"/>
        <w:numPr>
          <w:ilvl w:val="0"/>
          <w:numId w:val="12"/>
        </w:numPr>
        <w:spacing w:after="0"/>
      </w:pPr>
      <w:r w:rsidRPr="003C34C2">
        <w:t>Fonds commun de placement dans l’innovation (FCPI)</w:t>
      </w:r>
    </w:p>
    <w:p w14:paraId="24DC9F3E" w14:textId="387F3315" w:rsidR="0044193D" w:rsidRDefault="0044193D" w:rsidP="00833809">
      <w:pPr>
        <w:pStyle w:val="Paragraphedeliste"/>
        <w:numPr>
          <w:ilvl w:val="0"/>
          <w:numId w:val="12"/>
        </w:numPr>
        <w:spacing w:after="0"/>
      </w:pPr>
      <w:r w:rsidRPr="003C34C2">
        <w:t>Fonds d’investissement de proximité (FIP)</w:t>
      </w:r>
    </w:p>
    <w:p w14:paraId="02D774CA" w14:textId="4EA8E84F" w:rsidR="00EC678E" w:rsidRDefault="00EC678E" w:rsidP="00833809">
      <w:pPr>
        <w:pStyle w:val="Paragraphedeliste"/>
        <w:numPr>
          <w:ilvl w:val="0"/>
          <w:numId w:val="12"/>
        </w:numPr>
        <w:spacing w:after="0"/>
      </w:pPr>
      <w:r>
        <w:t>Fonds professionnels de capital investissement (FCPI)</w:t>
      </w:r>
    </w:p>
    <w:p w14:paraId="5ABE9A13" w14:textId="77777777" w:rsidR="003C34C2" w:rsidRPr="003C34C2" w:rsidRDefault="003C34C2" w:rsidP="00D64020">
      <w:pPr>
        <w:spacing w:after="0"/>
      </w:pPr>
    </w:p>
    <w:p w14:paraId="786C1FF0" w14:textId="6C646BDA" w:rsidR="002C6829" w:rsidRPr="0016165B" w:rsidRDefault="00FE57C7" w:rsidP="00FE57C7">
      <w:pPr>
        <w:rPr>
          <w:color w:val="ED7D31" w:themeColor="accent2"/>
          <w:sz w:val="24"/>
        </w:rPr>
      </w:pPr>
      <w:r w:rsidRPr="0016165B">
        <w:rPr>
          <w:color w:val="ED7D31" w:themeColor="accent2"/>
          <w:sz w:val="24"/>
        </w:rPr>
        <w:t>-</w:t>
      </w:r>
      <w:r w:rsidR="00623B99" w:rsidRPr="0016165B">
        <w:rPr>
          <w:color w:val="ED7D31" w:themeColor="accent2"/>
          <w:sz w:val="24"/>
        </w:rPr>
        <w:t>Périodicité</w:t>
      </w:r>
      <w:r w:rsidR="002C6829" w:rsidRPr="0016165B">
        <w:rPr>
          <w:color w:val="ED7D31" w:themeColor="accent2"/>
          <w:sz w:val="24"/>
        </w:rPr>
        <w:t> </w:t>
      </w:r>
      <w:r w:rsidRPr="0016165B">
        <w:rPr>
          <w:color w:val="ED7D31" w:themeColor="accent2"/>
          <w:sz w:val="24"/>
        </w:rPr>
        <w:t>trimestrielle</w:t>
      </w:r>
      <w:r w:rsidR="0016165B">
        <w:rPr>
          <w:color w:val="ED7D31" w:themeColor="accent2"/>
          <w:sz w:val="24"/>
        </w:rPr>
        <w:t xml:space="preserve"> des remises</w:t>
      </w:r>
    </w:p>
    <w:p w14:paraId="1F127478" w14:textId="12FB463C" w:rsidR="002C6829" w:rsidRPr="00FE57C7" w:rsidRDefault="00FE57C7" w:rsidP="00FE57C7">
      <w:r w:rsidRPr="00FE57C7">
        <w:t>C</w:t>
      </w:r>
      <w:r w:rsidR="00497672" w:rsidRPr="00FE57C7">
        <w:t>es fonds qui bénéficia</w:t>
      </w:r>
      <w:r w:rsidR="00DA3D7A" w:rsidRPr="00FE57C7">
        <w:t>i</w:t>
      </w:r>
      <w:r w:rsidR="00497672" w:rsidRPr="00FE57C7">
        <w:t xml:space="preserve">ent d’une dérogation </w:t>
      </w:r>
      <w:r w:rsidRPr="00FE57C7">
        <w:t xml:space="preserve">officielle </w:t>
      </w:r>
      <w:r w:rsidR="00497672" w:rsidRPr="00FE57C7">
        <w:t>jusqu’à fin 2017 s</w:t>
      </w:r>
      <w:r w:rsidRPr="00FE57C7">
        <w:t xml:space="preserve">eront à déclarer en trimestriel </w:t>
      </w:r>
      <w:r w:rsidR="002C6829" w:rsidRPr="00FE57C7">
        <w:t>à compter du démarrage de l’application OPC2</w:t>
      </w:r>
    </w:p>
    <w:p w14:paraId="5BC6EAC9" w14:textId="7F28B831" w:rsidR="00FC7F86" w:rsidRPr="00FC7F86" w:rsidRDefault="00FC7F86" w:rsidP="00FC7F86">
      <w:pPr>
        <w:rPr>
          <w:color w:val="ED7D31" w:themeColor="accent2"/>
        </w:rPr>
      </w:pPr>
      <w:r w:rsidRPr="0016165B">
        <w:rPr>
          <w:color w:val="ED7D31" w:themeColor="accent2"/>
          <w:sz w:val="24"/>
        </w:rPr>
        <w:t>-Ventilation du capital</w:t>
      </w:r>
      <w:r w:rsidR="00692C20" w:rsidRPr="0016165B">
        <w:rPr>
          <w:color w:val="ED7D31" w:themeColor="accent2"/>
          <w:sz w:val="24"/>
        </w:rPr>
        <w:t> : distinction entre le compte capital appelé et le compte capital souscrit</w:t>
      </w:r>
    </w:p>
    <w:p w14:paraId="445699E7" w14:textId="410F8F8A" w:rsidR="001142E6" w:rsidRDefault="00FC7F86" w:rsidP="001142E6">
      <w:r>
        <w:t>L</w:t>
      </w:r>
      <w:r w:rsidRPr="00D64020">
        <w:t xml:space="preserve">es comptes de capitaux propres sont actuellement déclarés en une seule ligne. La BDF n’a en conséquence aucune vision sur le </w:t>
      </w:r>
      <w:r w:rsidR="00692C20">
        <w:t>capital non appelé</w:t>
      </w:r>
      <w:r w:rsidRPr="00D64020">
        <w:t xml:space="preserve">, ce qui l’amène à </w:t>
      </w:r>
      <w:r w:rsidR="00692C20">
        <w:t>mal interpréter les augmentations de VL liées aux appels de capitaux déjà souscrits</w:t>
      </w:r>
      <w:r w:rsidRPr="002334C2">
        <w:t xml:space="preserve">. </w:t>
      </w:r>
      <w:r w:rsidR="00692C20">
        <w:t>Cette distinction</w:t>
      </w:r>
      <w:r w:rsidRPr="002334C2">
        <w:t xml:space="preserve"> n’est </w:t>
      </w:r>
      <w:r w:rsidR="00692C20" w:rsidRPr="002334C2">
        <w:t>envoyée</w:t>
      </w:r>
      <w:r w:rsidRPr="002334C2">
        <w:t xml:space="preserve"> que lors de la déclaration annuelle d’évolution de l’actif net</w:t>
      </w:r>
      <w:r w:rsidRPr="00692C20">
        <w:t xml:space="preserve">. Il sera donc demandé aux remettants </w:t>
      </w:r>
      <w:r w:rsidR="001142E6" w:rsidRPr="00692C20">
        <w:t xml:space="preserve">pour OPC2 </w:t>
      </w:r>
      <w:r w:rsidRPr="00692C20">
        <w:t>de fournir</w:t>
      </w:r>
      <w:r w:rsidR="00692C20">
        <w:t xml:space="preserve"> cette répartition</w:t>
      </w:r>
      <w:r w:rsidR="00151983">
        <w:t xml:space="preserve"> trimestriellement.</w:t>
      </w:r>
    </w:p>
    <w:p w14:paraId="2C6B3C09" w14:textId="75F5476A" w:rsidR="00415C55" w:rsidRPr="008C5682" w:rsidRDefault="00415C55" w:rsidP="001142E6">
      <w:pPr>
        <w:rPr>
          <w:i/>
          <w:color w:val="1F4E79" w:themeColor="accent1" w:themeShade="80"/>
        </w:rPr>
      </w:pPr>
      <w:r w:rsidRPr="0016165B">
        <w:rPr>
          <w:b/>
          <w:color w:val="44546A" w:themeColor="text2"/>
        </w:rPr>
        <w:lastRenderedPageBreak/>
        <w:t>Retour des discussions en atelier </w:t>
      </w:r>
      <w:r w:rsidRPr="0016165B">
        <w:rPr>
          <w:i/>
          <w:color w:val="1F4E79" w:themeColor="accent1" w:themeShade="80"/>
        </w:rPr>
        <w:t xml:space="preserve">: </w:t>
      </w:r>
      <w:r w:rsidR="00811DC9" w:rsidRPr="0016165B">
        <w:rPr>
          <w:i/>
          <w:color w:val="1F4E79" w:themeColor="accent1" w:themeShade="80"/>
        </w:rPr>
        <w:t>il devrait être possible pour les remettant</w:t>
      </w:r>
      <w:r w:rsidR="008C5682">
        <w:rPr>
          <w:i/>
          <w:color w:val="1F4E79" w:themeColor="accent1" w:themeShade="80"/>
        </w:rPr>
        <w:t>s de nous transmettre ce détail.</w:t>
      </w:r>
    </w:p>
    <w:p w14:paraId="375CF339" w14:textId="5B1905C9" w:rsidR="009F7A19" w:rsidRPr="00ED5909" w:rsidRDefault="008C5682" w:rsidP="009F7A19">
      <w:pPr>
        <w:pBdr>
          <w:top w:val="single" w:sz="4" w:space="1" w:color="auto"/>
          <w:left w:val="single" w:sz="4" w:space="4" w:color="auto"/>
          <w:bottom w:val="single" w:sz="4" w:space="1" w:color="auto"/>
          <w:right w:val="single" w:sz="4" w:space="4" w:color="auto"/>
        </w:pBdr>
        <w:spacing w:after="0"/>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9F7A19" w:rsidRPr="00ED5909">
        <w:rPr>
          <w:b/>
          <w:color w:val="00B050"/>
        </w:rPr>
        <w:t>La communication de l’information du capital souscrit non appelé est possible. Le compte correspondant est bien identifié dans le plan comptable.</w:t>
      </w:r>
    </w:p>
    <w:p w14:paraId="0AFDABBD" w14:textId="0DEDF895" w:rsidR="001142E6" w:rsidRPr="0016165B" w:rsidRDefault="001142E6" w:rsidP="00A41FE4">
      <w:pPr>
        <w:spacing w:before="120"/>
        <w:rPr>
          <w:color w:val="ED7D31" w:themeColor="accent2"/>
          <w:sz w:val="24"/>
        </w:rPr>
      </w:pPr>
      <w:r w:rsidRPr="0016165B">
        <w:rPr>
          <w:color w:val="ED7D31" w:themeColor="accent2"/>
          <w:sz w:val="24"/>
        </w:rPr>
        <w:t>-dividendes : remboursement du capital initial</w:t>
      </w:r>
      <w:r w:rsidR="00F13088">
        <w:rPr>
          <w:color w:val="ED7D31" w:themeColor="accent2"/>
          <w:sz w:val="24"/>
        </w:rPr>
        <w:t xml:space="preserve"> (nominal)</w:t>
      </w:r>
      <w:r w:rsidRPr="0016165B">
        <w:rPr>
          <w:color w:val="ED7D31" w:themeColor="accent2"/>
          <w:sz w:val="24"/>
        </w:rPr>
        <w:t xml:space="preserve"> à isoler </w:t>
      </w:r>
    </w:p>
    <w:p w14:paraId="412BEDD3" w14:textId="5F03379B" w:rsidR="001142E6" w:rsidRDefault="00692C20" w:rsidP="00FC7F86">
      <w:pPr>
        <w:rPr>
          <w:color w:val="ED7D31" w:themeColor="accent2"/>
        </w:rPr>
      </w:pPr>
      <w:r>
        <w:t xml:space="preserve">Mesurer le remboursement du </w:t>
      </w:r>
      <w:r w:rsidR="00F13088">
        <w:t xml:space="preserve">nominal </w:t>
      </w:r>
      <w:r>
        <w:t xml:space="preserve">est important pour ne pas surestimer les </w:t>
      </w:r>
      <w:r w:rsidR="00811DC9">
        <w:t>revenus versés au porteur de part</w:t>
      </w:r>
      <w:r w:rsidR="00F13088">
        <w:t xml:space="preserve"> et sous-estimer la collecte nette sur ces fonds.</w:t>
      </w:r>
    </w:p>
    <w:p w14:paraId="23696935" w14:textId="39004F21" w:rsidR="002C6829" w:rsidRPr="008C5682" w:rsidRDefault="00415C55" w:rsidP="00FC7F86">
      <w:pPr>
        <w:rPr>
          <w:i/>
          <w:color w:val="1F4E79" w:themeColor="accent1" w:themeShade="80"/>
        </w:rPr>
      </w:pPr>
      <w:r w:rsidRPr="0016165B">
        <w:rPr>
          <w:b/>
          <w:color w:val="44546A" w:themeColor="text2"/>
        </w:rPr>
        <w:t>Retour des discussions en atelier </w:t>
      </w:r>
      <w:r w:rsidRPr="0016165B">
        <w:rPr>
          <w:i/>
          <w:color w:val="1F4E79" w:themeColor="accent1" w:themeShade="80"/>
        </w:rPr>
        <w:t xml:space="preserve">: </w:t>
      </w:r>
      <w:r w:rsidR="00811DC9" w:rsidRPr="0016165B">
        <w:rPr>
          <w:i/>
          <w:color w:val="1F4E79" w:themeColor="accent1" w:themeShade="80"/>
        </w:rPr>
        <w:t>il devrait être possible pour les remettants de nous transmettre ce détail</w:t>
      </w:r>
      <w:r w:rsidR="008C5682" w:rsidRPr="008C5682">
        <w:rPr>
          <w:i/>
          <w:color w:val="1F4E79" w:themeColor="accent1" w:themeShade="80"/>
        </w:rPr>
        <w:t>.</w:t>
      </w:r>
    </w:p>
    <w:p w14:paraId="2335C5F8" w14:textId="6BBE5983" w:rsidR="00A41FE4" w:rsidRPr="00ED5909" w:rsidRDefault="008C5682" w:rsidP="00A41FE4">
      <w:pPr>
        <w:pBdr>
          <w:top w:val="single" w:sz="4" w:space="1" w:color="auto"/>
          <w:left w:val="single" w:sz="4" w:space="4" w:color="auto"/>
          <w:bottom w:val="single" w:sz="4" w:space="1" w:color="auto"/>
          <w:right w:val="single" w:sz="4" w:space="4" w:color="auto"/>
        </w:pBdr>
        <w:spacing w:after="0"/>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A41FE4" w:rsidRPr="00ED5909">
        <w:rPr>
          <w:b/>
          <w:color w:val="00B050"/>
        </w:rPr>
        <w:t xml:space="preserve">La distinction entre le remboursement du capital nominal et les plus-values lors d’une distribution est possible. Cette ventilation est déjà </w:t>
      </w:r>
      <w:r w:rsidR="00153FAB" w:rsidRPr="00ED5909">
        <w:rPr>
          <w:b/>
          <w:color w:val="00B050"/>
        </w:rPr>
        <w:t>opérée</w:t>
      </w:r>
      <w:r w:rsidR="00A41FE4" w:rsidRPr="00ED5909">
        <w:rPr>
          <w:b/>
          <w:color w:val="00B050"/>
        </w:rPr>
        <w:t xml:space="preserve"> actuellement </w:t>
      </w:r>
      <w:r w:rsidR="00153FAB" w:rsidRPr="00ED5909">
        <w:rPr>
          <w:b/>
          <w:color w:val="00B050"/>
        </w:rPr>
        <w:t xml:space="preserve">pour confectionner </w:t>
      </w:r>
      <w:r w:rsidR="00A41FE4" w:rsidRPr="00ED5909">
        <w:rPr>
          <w:b/>
          <w:color w:val="00B050"/>
        </w:rPr>
        <w:t>le tableau d’évolution de l’actif ou tableau d’évolution du capital (pour les FCPR).</w:t>
      </w:r>
    </w:p>
    <w:p w14:paraId="479E2EDD" w14:textId="77777777" w:rsidR="00415C55" w:rsidRPr="00FC7F86" w:rsidRDefault="00415C55" w:rsidP="00FC7F86">
      <w:pPr>
        <w:rPr>
          <w:color w:val="ED7D31" w:themeColor="accent2"/>
        </w:rPr>
      </w:pPr>
    </w:p>
    <w:p w14:paraId="492E749B" w14:textId="7DBF0BA2" w:rsidR="00197BBE" w:rsidRPr="0016165B" w:rsidRDefault="00FC7F86" w:rsidP="00FC7F86">
      <w:pPr>
        <w:rPr>
          <w:color w:val="ED7D31" w:themeColor="accent2"/>
          <w:sz w:val="24"/>
        </w:rPr>
      </w:pPr>
      <w:r w:rsidRPr="0016165B">
        <w:rPr>
          <w:color w:val="ED7D31" w:themeColor="accent2"/>
          <w:sz w:val="24"/>
        </w:rPr>
        <w:t>-</w:t>
      </w:r>
      <w:r w:rsidR="00100A4D" w:rsidRPr="0016165B">
        <w:rPr>
          <w:color w:val="ED7D31" w:themeColor="accent2"/>
          <w:sz w:val="24"/>
        </w:rPr>
        <w:t>Siren des entreprises</w:t>
      </w:r>
      <w:r w:rsidR="004E7FED">
        <w:rPr>
          <w:color w:val="ED7D31" w:themeColor="accent2"/>
          <w:sz w:val="24"/>
        </w:rPr>
        <w:t xml:space="preserve"> à l’actif</w:t>
      </w:r>
    </w:p>
    <w:p w14:paraId="506782E4" w14:textId="79600C37" w:rsidR="0009580A" w:rsidRPr="003C34C2" w:rsidRDefault="00F13088" w:rsidP="00825974">
      <w:r>
        <w:t>la BDF souhaiterait récupérer l</w:t>
      </w:r>
      <w:r w:rsidRPr="003C34C2">
        <w:t xml:space="preserve">es </w:t>
      </w:r>
      <w:r w:rsidR="0009580A" w:rsidRPr="003C34C2">
        <w:t>entités sur lesquelles les fonds investissent</w:t>
      </w:r>
      <w:r w:rsidR="00197BBE">
        <w:t xml:space="preserve"> </w:t>
      </w:r>
      <w:r w:rsidR="0009580A" w:rsidRPr="003C34C2">
        <w:t xml:space="preserve">. Il </w:t>
      </w:r>
      <w:r w:rsidR="00FE57C7">
        <w:t>serait</w:t>
      </w:r>
      <w:r w:rsidR="0009580A" w:rsidRPr="003C34C2">
        <w:t xml:space="preserve"> donc nécessaire </w:t>
      </w:r>
      <w:r w:rsidR="00197BBE">
        <w:t>d’obtenir</w:t>
      </w:r>
      <w:r w:rsidR="0009580A" w:rsidRPr="003C34C2">
        <w:t xml:space="preserve"> le SIREN </w:t>
      </w:r>
      <w:r w:rsidR="009E2A88">
        <w:t xml:space="preserve">ou/et le LEI </w:t>
      </w:r>
      <w:r w:rsidR="0009580A" w:rsidRPr="003C34C2">
        <w:t xml:space="preserve">des entreprises </w:t>
      </w:r>
      <w:r w:rsidR="00FE57C7">
        <w:t xml:space="preserve">françaises </w:t>
      </w:r>
      <w:r w:rsidR="00151983">
        <w:t xml:space="preserve">ou </w:t>
      </w:r>
      <w:r w:rsidR="009E2A88">
        <w:t xml:space="preserve">le </w:t>
      </w:r>
      <w:r w:rsidR="00151983">
        <w:t xml:space="preserve">LEI pour </w:t>
      </w:r>
      <w:r w:rsidR="009E2A88">
        <w:t xml:space="preserve">les </w:t>
      </w:r>
      <w:r w:rsidR="00151983">
        <w:t>entreprises étrangères</w:t>
      </w:r>
      <w:r w:rsidR="00151983" w:rsidRPr="003C34C2">
        <w:t xml:space="preserve"> </w:t>
      </w:r>
      <w:r w:rsidR="0009580A" w:rsidRPr="003C34C2">
        <w:t xml:space="preserve">au portefeuille des </w:t>
      </w:r>
      <w:r w:rsidR="00151983">
        <w:t>fonds</w:t>
      </w:r>
      <w:r w:rsidR="00FC7F86">
        <w:t xml:space="preserve">. Les investissements indirects via filiales resteraient hors </w:t>
      </w:r>
      <w:r w:rsidR="00200BB3">
        <w:t>périmètre</w:t>
      </w:r>
      <w:r w:rsidR="00FC7F86">
        <w:t xml:space="preserve">. </w:t>
      </w:r>
    </w:p>
    <w:p w14:paraId="26494B5B" w14:textId="0F803AC9" w:rsidR="00545DAF" w:rsidRPr="008C5682" w:rsidRDefault="00197BBE" w:rsidP="00545DAF">
      <w:pPr>
        <w:rPr>
          <w:i/>
          <w:color w:val="1F4E79" w:themeColor="accent1" w:themeShade="80"/>
        </w:rPr>
      </w:pPr>
      <w:r w:rsidRPr="0016165B">
        <w:rPr>
          <w:b/>
          <w:color w:val="44546A" w:themeColor="text2"/>
        </w:rPr>
        <w:t>Retour des discussions en atelier </w:t>
      </w:r>
      <w:r w:rsidRPr="0016165B">
        <w:rPr>
          <w:i/>
          <w:color w:val="1F4E79" w:themeColor="accent1" w:themeShade="80"/>
        </w:rPr>
        <w:t xml:space="preserve">: </w:t>
      </w:r>
      <w:r w:rsidR="00FC7F86" w:rsidRPr="0016165B">
        <w:rPr>
          <w:i/>
          <w:color w:val="1F4E79" w:themeColor="accent1" w:themeShade="80"/>
        </w:rPr>
        <w:t xml:space="preserve">Les remettants sont en grandes majorité des valorisateurs et </w:t>
      </w:r>
      <w:r w:rsidR="00100A4D" w:rsidRPr="0016165B">
        <w:rPr>
          <w:i/>
          <w:color w:val="1F4E79" w:themeColor="accent1" w:themeShade="80"/>
        </w:rPr>
        <w:t>ne disposent pas</w:t>
      </w:r>
      <w:r w:rsidR="0009580A" w:rsidRPr="0016165B">
        <w:rPr>
          <w:i/>
          <w:color w:val="1F4E79" w:themeColor="accent1" w:themeShade="80"/>
        </w:rPr>
        <w:t xml:space="preserve"> </w:t>
      </w:r>
      <w:r w:rsidR="00100A4D" w:rsidRPr="0016165B">
        <w:rPr>
          <w:i/>
          <w:color w:val="1F4E79" w:themeColor="accent1" w:themeShade="80"/>
        </w:rPr>
        <w:t>de l’information sur le SIREN</w:t>
      </w:r>
      <w:r w:rsidR="0009580A" w:rsidRPr="0016165B">
        <w:rPr>
          <w:i/>
          <w:color w:val="1F4E79" w:themeColor="accent1" w:themeShade="80"/>
        </w:rPr>
        <w:t xml:space="preserve"> ou le secteur</w:t>
      </w:r>
      <w:r w:rsidRPr="0016165B">
        <w:rPr>
          <w:i/>
          <w:color w:val="1F4E79" w:themeColor="accent1" w:themeShade="80"/>
        </w:rPr>
        <w:t xml:space="preserve"> émetteur</w:t>
      </w:r>
      <w:r w:rsidR="00100A4D" w:rsidRPr="0016165B">
        <w:rPr>
          <w:i/>
          <w:color w:val="1F4E79" w:themeColor="accent1" w:themeShade="80"/>
        </w:rPr>
        <w:t xml:space="preserve">. </w:t>
      </w:r>
      <w:r w:rsidR="0009580A" w:rsidRPr="0016165B">
        <w:rPr>
          <w:i/>
          <w:color w:val="1F4E79" w:themeColor="accent1" w:themeShade="80"/>
        </w:rPr>
        <w:t xml:space="preserve">Seules les </w:t>
      </w:r>
      <w:r w:rsidR="00100A4D" w:rsidRPr="0016165B">
        <w:rPr>
          <w:i/>
          <w:color w:val="1F4E79" w:themeColor="accent1" w:themeShade="80"/>
        </w:rPr>
        <w:t>sociétés de gestion sont détentrices de cette donnée.</w:t>
      </w:r>
      <w:r w:rsidR="0009580A" w:rsidRPr="0016165B">
        <w:rPr>
          <w:i/>
          <w:color w:val="1F4E79" w:themeColor="accent1" w:themeShade="80"/>
        </w:rPr>
        <w:t xml:space="preserve"> Il est noté que le Trésor et l’AMF ont </w:t>
      </w:r>
      <w:r w:rsidR="00100A4D" w:rsidRPr="0016165B">
        <w:rPr>
          <w:i/>
          <w:color w:val="1F4E79" w:themeColor="accent1" w:themeShade="80"/>
        </w:rPr>
        <w:t xml:space="preserve">une enquête annuelle </w:t>
      </w:r>
      <w:r w:rsidR="0009580A" w:rsidRPr="0016165B">
        <w:rPr>
          <w:i/>
          <w:color w:val="1F4E79" w:themeColor="accent1" w:themeShade="80"/>
        </w:rPr>
        <w:t>portant</w:t>
      </w:r>
      <w:r w:rsidR="00151983">
        <w:rPr>
          <w:i/>
          <w:color w:val="1F4E79" w:themeColor="accent1" w:themeShade="80"/>
        </w:rPr>
        <w:t xml:space="preserve"> sur</w:t>
      </w:r>
      <w:r w:rsidR="0009580A" w:rsidRPr="0016165B">
        <w:rPr>
          <w:i/>
          <w:color w:val="1F4E79" w:themeColor="accent1" w:themeShade="80"/>
        </w:rPr>
        <w:t xml:space="preserve"> les entités sur lesquels investissent les fonds</w:t>
      </w:r>
      <w:r w:rsidR="00FC7F86" w:rsidRPr="0016165B">
        <w:rPr>
          <w:i/>
          <w:color w:val="1F4E79" w:themeColor="accent1" w:themeShade="80"/>
        </w:rPr>
        <w:t>.</w:t>
      </w:r>
      <w:r w:rsidR="00FC7F86" w:rsidRPr="0016165B">
        <w:t xml:space="preserve"> </w:t>
      </w:r>
      <w:r w:rsidR="00FC7F86" w:rsidRPr="0016165B">
        <w:rPr>
          <w:i/>
          <w:color w:val="1F4E79" w:themeColor="accent1" w:themeShade="80"/>
        </w:rPr>
        <w:t>Le turnover sur ces portefeuilles étant relativement faible, l’information à raison d’une fois par an pourrait être satisfaisante</w:t>
      </w:r>
      <w:r w:rsidR="008C5682">
        <w:rPr>
          <w:i/>
          <w:color w:val="1F4E79" w:themeColor="accent1" w:themeShade="80"/>
        </w:rPr>
        <w:t>.</w:t>
      </w:r>
      <w:r w:rsidR="00545DAF" w:rsidRPr="0016165B">
        <w:rPr>
          <w:i/>
          <w:color w:val="1F4E79" w:themeColor="accent1" w:themeShade="80"/>
        </w:rPr>
        <w:t xml:space="preserve"> </w:t>
      </w:r>
    </w:p>
    <w:p w14:paraId="38764990" w14:textId="50B6C3A2" w:rsidR="00E762CD" w:rsidRPr="00ED5909" w:rsidRDefault="008C5682" w:rsidP="00E762CD">
      <w:pPr>
        <w:pBdr>
          <w:top w:val="single" w:sz="4" w:space="1" w:color="auto"/>
          <w:left w:val="single" w:sz="4" w:space="4" w:color="auto"/>
          <w:bottom w:val="single" w:sz="4" w:space="1" w:color="auto"/>
          <w:right w:val="single" w:sz="4" w:space="4" w:color="auto"/>
        </w:pBdr>
        <w:spacing w:after="0"/>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E762CD" w:rsidRPr="00ED5909">
        <w:rPr>
          <w:b/>
          <w:color w:val="00B050"/>
        </w:rPr>
        <w:t>La Bdf va contacter les gestionnaires de l’enquête afin de pouvoir récupérer l’information.</w:t>
      </w:r>
    </w:p>
    <w:p w14:paraId="4338920C" w14:textId="77777777" w:rsidR="004E7FED" w:rsidRPr="004E7FED" w:rsidRDefault="004E7FED" w:rsidP="00545DAF">
      <w:pPr>
        <w:rPr>
          <w:i/>
          <w:color w:val="FF0000"/>
          <w:sz w:val="2"/>
        </w:rPr>
      </w:pPr>
    </w:p>
    <w:p w14:paraId="672736B9" w14:textId="55B16942" w:rsidR="00545DAF" w:rsidRPr="0016165B" w:rsidRDefault="0016165B" w:rsidP="0016165B">
      <w:pPr>
        <w:rPr>
          <w:color w:val="ED7D31" w:themeColor="accent2"/>
          <w:sz w:val="24"/>
        </w:rPr>
      </w:pPr>
      <w:r w:rsidRPr="0016165B">
        <w:rPr>
          <w:color w:val="ED7D31" w:themeColor="accent2"/>
          <w:sz w:val="24"/>
        </w:rPr>
        <w:t>-</w:t>
      </w:r>
      <w:r w:rsidR="00545DAF" w:rsidRPr="0016165B">
        <w:rPr>
          <w:color w:val="ED7D31" w:themeColor="accent2"/>
          <w:sz w:val="24"/>
        </w:rPr>
        <w:t xml:space="preserve">Prêts </w:t>
      </w:r>
      <w:r w:rsidRPr="0016165B">
        <w:rPr>
          <w:color w:val="ED7D31" w:themeColor="accent2"/>
          <w:sz w:val="24"/>
        </w:rPr>
        <w:t>directs aux entreprises</w:t>
      </w:r>
    </w:p>
    <w:p w14:paraId="465A5FC0" w14:textId="08900533" w:rsidR="00D64020" w:rsidRDefault="00545DAF" w:rsidP="00D64020">
      <w:r w:rsidRPr="0016165B">
        <w:t>L</w:t>
      </w:r>
      <w:r w:rsidR="00D64020" w:rsidRPr="0016165B">
        <w:t xml:space="preserve">’identification des prêts </w:t>
      </w:r>
      <w:r w:rsidR="0016165B" w:rsidRPr="0016165B">
        <w:t xml:space="preserve">aux entreprises </w:t>
      </w:r>
      <w:r w:rsidR="00D64020" w:rsidRPr="0016165B">
        <w:t>passe par la création d’une rubrique « prêt</w:t>
      </w:r>
      <w:r w:rsidR="00B20726" w:rsidRPr="0016165B">
        <w:t>s</w:t>
      </w:r>
      <w:r w:rsidR="00D64020" w:rsidRPr="0016165B">
        <w:t> »</w:t>
      </w:r>
      <w:r w:rsidR="0016165B" w:rsidRPr="0016165B">
        <w:t xml:space="preserve"> dans les comptes</w:t>
      </w:r>
      <w:r w:rsidR="00D64020" w:rsidRPr="0016165B">
        <w:t xml:space="preserve">. </w:t>
      </w:r>
    </w:p>
    <w:p w14:paraId="22DC49F6" w14:textId="3B06E4A5" w:rsidR="007C41F3" w:rsidRPr="00ED5909" w:rsidRDefault="008C5682" w:rsidP="007C41F3">
      <w:pPr>
        <w:pBdr>
          <w:top w:val="single" w:sz="4" w:space="1" w:color="auto"/>
          <w:left w:val="single" w:sz="4" w:space="4" w:color="auto"/>
          <w:bottom w:val="single" w:sz="4" w:space="1" w:color="auto"/>
          <w:right w:val="single" w:sz="4" w:space="4" w:color="auto"/>
        </w:pBdr>
        <w:spacing w:after="0"/>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A66BFC" w:rsidRPr="00ED5909">
        <w:rPr>
          <w:b/>
          <w:color w:val="00B050"/>
        </w:rPr>
        <w:t xml:space="preserve">Les remettants indiquent qu’il est difficile de distinguer les prêts directs effectués par les fonds et les rachats de prêts. Un reporting </w:t>
      </w:r>
      <w:r w:rsidR="0096383D" w:rsidRPr="00ED5909">
        <w:rPr>
          <w:b/>
          <w:color w:val="00B050"/>
        </w:rPr>
        <w:t xml:space="preserve">mensuel et </w:t>
      </w:r>
      <w:r w:rsidR="00A66BFC" w:rsidRPr="00ED5909">
        <w:rPr>
          <w:b/>
          <w:color w:val="00B050"/>
        </w:rPr>
        <w:t xml:space="preserve">trimestriel </w:t>
      </w:r>
      <w:r w:rsidR="009320C9" w:rsidRPr="00ED5909">
        <w:rPr>
          <w:b/>
          <w:color w:val="00B050"/>
        </w:rPr>
        <w:t xml:space="preserve">portant sur la déclaration des prêts directs des fonds qui ont reçu l’agrément est </w:t>
      </w:r>
      <w:r w:rsidR="00A66BFC" w:rsidRPr="00ED5909">
        <w:rPr>
          <w:b/>
          <w:color w:val="00B050"/>
        </w:rPr>
        <w:t xml:space="preserve">effectué auprès de la Banque de France </w:t>
      </w:r>
      <w:r w:rsidR="009320C9" w:rsidRPr="00ED5909">
        <w:rPr>
          <w:b/>
          <w:color w:val="00B050"/>
        </w:rPr>
        <w:t>et de l’AMF</w:t>
      </w:r>
      <w:r w:rsidR="00A66BFC" w:rsidRPr="00ED5909">
        <w:rPr>
          <w:b/>
          <w:color w:val="00B050"/>
        </w:rPr>
        <w:t>.</w:t>
      </w:r>
      <w:r w:rsidR="007C41F3" w:rsidRPr="00ED5909">
        <w:rPr>
          <w:b/>
          <w:color w:val="00B050"/>
        </w:rPr>
        <w:t xml:space="preserve"> Cette orientation va être étudiée</w:t>
      </w:r>
      <w:r w:rsidR="0096383D" w:rsidRPr="00ED5909">
        <w:rPr>
          <w:b/>
          <w:color w:val="00B050"/>
        </w:rPr>
        <w:t>.</w:t>
      </w:r>
    </w:p>
    <w:p w14:paraId="1A052FA3" w14:textId="586301AA" w:rsidR="005C388B" w:rsidRPr="0011370A" w:rsidRDefault="005C388B" w:rsidP="00A66BFC">
      <w:pPr>
        <w:pStyle w:val="Paragraphedeliste"/>
        <w:numPr>
          <w:ilvl w:val="1"/>
          <w:numId w:val="3"/>
        </w:numPr>
        <w:spacing w:before="240"/>
        <w:ind w:left="1434" w:hanging="357"/>
        <w:rPr>
          <w:b/>
          <w:color w:val="808080" w:themeColor="background1" w:themeShade="80"/>
          <w:sz w:val="26"/>
          <w:szCs w:val="26"/>
        </w:rPr>
      </w:pPr>
      <w:r w:rsidRPr="0011370A">
        <w:rPr>
          <w:b/>
          <w:color w:val="808080" w:themeColor="background1" w:themeShade="80"/>
          <w:sz w:val="26"/>
          <w:szCs w:val="26"/>
        </w:rPr>
        <w:t xml:space="preserve">Ajouts de collecte spécifiques </w:t>
      </w:r>
      <w:r>
        <w:rPr>
          <w:b/>
          <w:color w:val="808080" w:themeColor="background1" w:themeShade="80"/>
          <w:sz w:val="26"/>
          <w:szCs w:val="26"/>
        </w:rPr>
        <w:t>sur FPS et OFS</w:t>
      </w:r>
    </w:p>
    <w:p w14:paraId="35999200" w14:textId="234281FF" w:rsidR="003C34C2" w:rsidRPr="003C34C2" w:rsidRDefault="00200BB3" w:rsidP="003C34C2">
      <w:r>
        <w:t>Le</w:t>
      </w:r>
      <w:r w:rsidR="003C34C2" w:rsidRPr="00D64020">
        <w:t xml:space="preserve">s FPS ne sont pas </w:t>
      </w:r>
      <w:r w:rsidR="00151983">
        <w:t xml:space="preserve">tous </w:t>
      </w:r>
      <w:r w:rsidR="003C34C2" w:rsidRPr="00D64020">
        <w:t>collectés par la BDF, notamment ceux qui sont sous la nouvelle forme de Société de Libre Partenariat</w:t>
      </w:r>
      <w:r w:rsidR="00A03770">
        <w:t xml:space="preserve"> (SLP)</w:t>
      </w:r>
      <w:r w:rsidR="003C34C2" w:rsidRPr="00D64020">
        <w:t>.</w:t>
      </w:r>
      <w:r w:rsidR="003C34C2" w:rsidRPr="003C34C2">
        <w:t xml:space="preserve"> </w:t>
      </w:r>
      <w:r w:rsidR="00415C55">
        <w:t xml:space="preserve">Les OFS </w:t>
      </w:r>
      <w:r w:rsidR="005C388B">
        <w:t>échappent</w:t>
      </w:r>
      <w:r w:rsidR="00415C55">
        <w:t xml:space="preserve"> complètement à la collecte.</w:t>
      </w:r>
    </w:p>
    <w:p w14:paraId="3985B6A2" w14:textId="6985F958" w:rsidR="003C34C2" w:rsidRDefault="003C34C2" w:rsidP="003C34C2">
      <w:r w:rsidRPr="005C388B">
        <w:t>Les déclarations s</w:t>
      </w:r>
      <w:r w:rsidR="005C388B" w:rsidRPr="005C388B">
        <w:t xml:space="preserve">eront </w:t>
      </w:r>
      <w:r w:rsidRPr="005C388B">
        <w:t xml:space="preserve">attendues avec une </w:t>
      </w:r>
      <w:r w:rsidR="005C388B" w:rsidRPr="005C388B">
        <w:t>périodicité trimestrielle</w:t>
      </w:r>
      <w:r w:rsidRPr="005C388B">
        <w:t xml:space="preserve"> à compter de la mise en production de l’applicatif OPC2.</w:t>
      </w:r>
    </w:p>
    <w:p w14:paraId="53BB8ACC" w14:textId="77777777" w:rsidR="00C326FA" w:rsidRDefault="00C326FA" w:rsidP="003C34C2"/>
    <w:p w14:paraId="3CFC5CAE" w14:textId="2D78F67D" w:rsidR="005C388B" w:rsidRPr="0016165B" w:rsidRDefault="005C388B" w:rsidP="005C388B">
      <w:pPr>
        <w:rPr>
          <w:color w:val="ED7D31" w:themeColor="accent2"/>
          <w:sz w:val="24"/>
        </w:rPr>
      </w:pPr>
      <w:r w:rsidRPr="0016165B">
        <w:rPr>
          <w:color w:val="ED7D31" w:themeColor="accent2"/>
          <w:sz w:val="24"/>
        </w:rPr>
        <w:t>-</w:t>
      </w:r>
      <w:r>
        <w:rPr>
          <w:color w:val="ED7D31" w:themeColor="accent2"/>
          <w:sz w:val="24"/>
        </w:rPr>
        <w:t>Ajouts d’une nomenclature actifs non financiers</w:t>
      </w:r>
    </w:p>
    <w:p w14:paraId="6125EEE8" w14:textId="54056C63" w:rsidR="003C34C2" w:rsidRPr="008C5682" w:rsidRDefault="005C388B" w:rsidP="003C34C2">
      <w:r>
        <w:lastRenderedPageBreak/>
        <w:t>Les OFS (et dans une moindre mesure les FPS) peuvent investir sur tout type d’</w:t>
      </w:r>
      <w:r w:rsidR="00476F83">
        <w:t xml:space="preserve">actifs, notamment des actifs </w:t>
      </w:r>
      <w:r w:rsidR="00C326FA">
        <w:t xml:space="preserve">non financiers tel que </w:t>
      </w:r>
      <w:r w:rsidR="00F10B70">
        <w:t xml:space="preserve">les créances, les suretés, les biens de l’article L214-154 du CMF </w:t>
      </w:r>
      <w:r w:rsidR="00C10E51">
        <w:t>etc.</w:t>
      </w:r>
      <w:r w:rsidR="00F10B70">
        <w:t xml:space="preserve"> </w:t>
      </w:r>
    </w:p>
    <w:p w14:paraId="16D3C0B1" w14:textId="5355F84D" w:rsidR="009320C9" w:rsidRPr="00ED5909" w:rsidRDefault="008C5682" w:rsidP="00AB213F">
      <w:pPr>
        <w:pBdr>
          <w:top w:val="single" w:sz="4" w:space="1" w:color="auto"/>
          <w:left w:val="single" w:sz="4" w:space="4" w:color="auto"/>
          <w:bottom w:val="single" w:sz="4" w:space="1" w:color="auto"/>
          <w:right w:val="single" w:sz="4" w:space="4" w:color="auto"/>
        </w:pBdr>
        <w:spacing w:after="0"/>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9320C9" w:rsidRPr="00ED5909">
        <w:rPr>
          <w:b/>
          <w:color w:val="00B050"/>
        </w:rPr>
        <w:t>La Banque de France propose cette liste des actifs non financiers au portefeuille des fonds</w:t>
      </w:r>
    </w:p>
    <w:p w14:paraId="0A58A9B6" w14:textId="13ED100F" w:rsidR="007C41F3" w:rsidRPr="00ED5909" w:rsidRDefault="007C41F3" w:rsidP="00AB213F">
      <w:pPr>
        <w:pBdr>
          <w:top w:val="single" w:sz="4" w:space="1" w:color="auto"/>
          <w:left w:val="single" w:sz="4" w:space="4" w:color="auto"/>
          <w:bottom w:val="single" w:sz="4" w:space="1" w:color="auto"/>
          <w:right w:val="single" w:sz="4" w:space="4" w:color="auto"/>
        </w:pBdr>
        <w:spacing w:after="0"/>
        <w:rPr>
          <w:b/>
          <w:color w:val="00B050"/>
        </w:rPr>
      </w:pPr>
      <w:r w:rsidRPr="00ED5909">
        <w:rPr>
          <w:b/>
          <w:color w:val="00B050"/>
        </w:rPr>
        <w:t>BRE</w:t>
      </w:r>
      <w:r w:rsidR="00AB213F" w:rsidRPr="00ED5909">
        <w:rPr>
          <w:b/>
          <w:color w:val="00B050"/>
        </w:rPr>
        <w:t xml:space="preserve"> : </w:t>
      </w:r>
      <w:r w:rsidRPr="00ED5909">
        <w:rPr>
          <w:b/>
          <w:color w:val="00B050"/>
        </w:rPr>
        <w:t>Brevets, licences</w:t>
      </w:r>
    </w:p>
    <w:p w14:paraId="05320216" w14:textId="1869EB2C" w:rsidR="007C41F3" w:rsidRPr="00ED5909" w:rsidRDefault="00AB213F" w:rsidP="00AB213F">
      <w:pPr>
        <w:pBdr>
          <w:top w:val="single" w:sz="4" w:space="1" w:color="auto"/>
          <w:left w:val="single" w:sz="4" w:space="4" w:color="auto"/>
          <w:bottom w:val="single" w:sz="4" w:space="1" w:color="auto"/>
          <w:right w:val="single" w:sz="4" w:space="4" w:color="auto"/>
        </w:pBdr>
        <w:spacing w:after="0"/>
        <w:rPr>
          <w:b/>
          <w:color w:val="00B050"/>
        </w:rPr>
      </w:pPr>
      <w:r w:rsidRPr="00ED5909">
        <w:rPr>
          <w:b/>
          <w:color w:val="00B050"/>
        </w:rPr>
        <w:t>F</w:t>
      </w:r>
      <w:r w:rsidR="007C41F3" w:rsidRPr="00ED5909">
        <w:rPr>
          <w:b/>
          <w:color w:val="00B050"/>
        </w:rPr>
        <w:t>AC</w:t>
      </w:r>
      <w:r w:rsidRPr="00ED5909">
        <w:rPr>
          <w:b/>
          <w:color w:val="00B050"/>
        </w:rPr>
        <w:t xml:space="preserve"> : </w:t>
      </w:r>
      <w:r w:rsidR="007C41F3" w:rsidRPr="00ED5909">
        <w:rPr>
          <w:b/>
          <w:color w:val="00B050"/>
        </w:rPr>
        <w:t>Factures diverses, contrat (assurance …), garanties, suretés</w:t>
      </w:r>
    </w:p>
    <w:p w14:paraId="0C062D71" w14:textId="70ECE751" w:rsidR="007C41F3" w:rsidRPr="00ED5909" w:rsidRDefault="007C41F3" w:rsidP="00AB213F">
      <w:pPr>
        <w:pBdr>
          <w:top w:val="single" w:sz="4" w:space="1" w:color="auto"/>
          <w:left w:val="single" w:sz="4" w:space="4" w:color="auto"/>
          <w:bottom w:val="single" w:sz="4" w:space="1" w:color="auto"/>
          <w:right w:val="single" w:sz="4" w:space="4" w:color="auto"/>
        </w:pBdr>
        <w:spacing w:after="0"/>
        <w:rPr>
          <w:b/>
          <w:color w:val="00B050"/>
        </w:rPr>
      </w:pPr>
      <w:r w:rsidRPr="00ED5909">
        <w:rPr>
          <w:b/>
          <w:color w:val="00B050"/>
        </w:rPr>
        <w:t>FOR</w:t>
      </w:r>
      <w:r w:rsidR="00AB213F" w:rsidRPr="00ED5909">
        <w:rPr>
          <w:b/>
          <w:color w:val="00B050"/>
        </w:rPr>
        <w:t xml:space="preserve"> : </w:t>
      </w:r>
      <w:r w:rsidRPr="00ED5909">
        <w:rPr>
          <w:b/>
          <w:color w:val="00B050"/>
        </w:rPr>
        <w:t>Forêts</w:t>
      </w:r>
    </w:p>
    <w:p w14:paraId="2CF665D8" w14:textId="4EC0BD82" w:rsidR="007C41F3" w:rsidRDefault="00AB213F" w:rsidP="00AB213F">
      <w:pPr>
        <w:pBdr>
          <w:top w:val="single" w:sz="4" w:space="1" w:color="auto"/>
          <w:left w:val="single" w:sz="4" w:space="4" w:color="auto"/>
          <w:bottom w:val="single" w:sz="4" w:space="1" w:color="auto"/>
          <w:right w:val="single" w:sz="4" w:space="4" w:color="auto"/>
        </w:pBdr>
        <w:spacing w:after="0"/>
        <w:rPr>
          <w:b/>
          <w:color w:val="00B050"/>
        </w:rPr>
      </w:pPr>
      <w:r w:rsidRPr="00ED5909">
        <w:rPr>
          <w:b/>
          <w:color w:val="00B050"/>
        </w:rPr>
        <w:t>VIN : V</w:t>
      </w:r>
      <w:r w:rsidR="007C41F3" w:rsidRPr="00ED5909">
        <w:rPr>
          <w:b/>
          <w:color w:val="00B050"/>
        </w:rPr>
        <w:t>ignobles</w:t>
      </w:r>
    </w:p>
    <w:p w14:paraId="62841975" w14:textId="7EF52133" w:rsidR="00AB213F" w:rsidRPr="00ED5909" w:rsidRDefault="00AB213F" w:rsidP="00AB213F">
      <w:pPr>
        <w:pBdr>
          <w:top w:val="single" w:sz="4" w:space="1" w:color="auto"/>
          <w:left w:val="single" w:sz="4" w:space="4" w:color="auto"/>
          <w:bottom w:val="single" w:sz="4" w:space="1" w:color="auto"/>
          <w:right w:val="single" w:sz="4" w:space="4" w:color="auto"/>
        </w:pBdr>
        <w:spacing w:after="0"/>
        <w:rPr>
          <w:b/>
          <w:color w:val="00B050"/>
        </w:rPr>
      </w:pPr>
      <w:r w:rsidRPr="00ED5909">
        <w:rPr>
          <w:b/>
          <w:color w:val="00B050"/>
        </w:rPr>
        <w:t>AUI : Autres Biens immatériels</w:t>
      </w:r>
    </w:p>
    <w:p w14:paraId="2421D46D" w14:textId="32595430" w:rsidR="00AB213F" w:rsidRPr="00ED5909" w:rsidRDefault="00AB213F" w:rsidP="00AB213F">
      <w:pPr>
        <w:pBdr>
          <w:top w:val="single" w:sz="4" w:space="1" w:color="auto"/>
          <w:left w:val="single" w:sz="4" w:space="4" w:color="auto"/>
          <w:bottom w:val="single" w:sz="4" w:space="1" w:color="auto"/>
          <w:right w:val="single" w:sz="4" w:space="4" w:color="auto"/>
        </w:pBdr>
        <w:spacing w:after="0"/>
        <w:rPr>
          <w:b/>
          <w:color w:val="00B050"/>
        </w:rPr>
      </w:pPr>
      <w:r w:rsidRPr="00ED5909">
        <w:rPr>
          <w:b/>
          <w:color w:val="00B050"/>
        </w:rPr>
        <w:t>AUM : Autres Biens matériels</w:t>
      </w:r>
    </w:p>
    <w:p w14:paraId="4A7A5FAD" w14:textId="6E9322BD" w:rsidR="00CE4178" w:rsidRPr="00ED5909" w:rsidRDefault="00C10E51" w:rsidP="00AB213F">
      <w:pPr>
        <w:pBdr>
          <w:top w:val="single" w:sz="4" w:space="1" w:color="auto"/>
          <w:left w:val="single" w:sz="4" w:space="4" w:color="auto"/>
          <w:bottom w:val="single" w:sz="4" w:space="1" w:color="auto"/>
          <w:right w:val="single" w:sz="4" w:space="4" w:color="auto"/>
        </w:pBdr>
        <w:spacing w:after="0"/>
        <w:rPr>
          <w:b/>
          <w:color w:val="00B050"/>
        </w:rPr>
      </w:pPr>
      <w:r>
        <w:rPr>
          <w:b/>
          <w:color w:val="00B050"/>
        </w:rPr>
        <w:t>La</w:t>
      </w:r>
      <w:r w:rsidR="005F546E">
        <w:rPr>
          <w:b/>
          <w:color w:val="00B050"/>
        </w:rPr>
        <w:t xml:space="preserve"> suggestion d’ajout </w:t>
      </w:r>
      <w:r>
        <w:rPr>
          <w:b/>
          <w:color w:val="00B050"/>
        </w:rPr>
        <w:t xml:space="preserve">de </w:t>
      </w:r>
      <w:r w:rsidRPr="00ED5909">
        <w:rPr>
          <w:b/>
          <w:color w:val="00B050"/>
        </w:rPr>
        <w:t>rubrique</w:t>
      </w:r>
      <w:r w:rsidR="009320C9" w:rsidRPr="00ED5909">
        <w:rPr>
          <w:b/>
          <w:color w:val="00B050"/>
        </w:rPr>
        <w:t xml:space="preserve"> </w:t>
      </w:r>
      <w:r w:rsidR="005F546E">
        <w:rPr>
          <w:b/>
          <w:color w:val="00B050"/>
        </w:rPr>
        <w:t xml:space="preserve">NUM : </w:t>
      </w:r>
      <w:r w:rsidR="009320C9" w:rsidRPr="00ED5909">
        <w:rPr>
          <w:b/>
          <w:color w:val="00B050"/>
        </w:rPr>
        <w:t>« actifs numériques » sera ajoutée</w:t>
      </w:r>
    </w:p>
    <w:p w14:paraId="2BD4E3E6" w14:textId="57CC7EA4" w:rsidR="00C326FA" w:rsidRPr="0016165B" w:rsidRDefault="00C326FA" w:rsidP="00AB213F">
      <w:pPr>
        <w:spacing w:before="120"/>
        <w:rPr>
          <w:color w:val="ED7D31" w:themeColor="accent2"/>
          <w:sz w:val="24"/>
        </w:rPr>
      </w:pPr>
      <w:r w:rsidRPr="0016165B">
        <w:rPr>
          <w:color w:val="ED7D31" w:themeColor="accent2"/>
          <w:sz w:val="24"/>
        </w:rPr>
        <w:t>-</w:t>
      </w:r>
      <w:r>
        <w:rPr>
          <w:color w:val="ED7D31" w:themeColor="accent2"/>
          <w:sz w:val="24"/>
        </w:rPr>
        <w:t xml:space="preserve">Octroi de </w:t>
      </w:r>
      <w:r w:rsidR="0014141C">
        <w:rPr>
          <w:color w:val="ED7D31" w:themeColor="accent2"/>
          <w:sz w:val="24"/>
        </w:rPr>
        <w:t>prêts</w:t>
      </w:r>
      <w:r>
        <w:rPr>
          <w:color w:val="ED7D31" w:themeColor="accent2"/>
          <w:sz w:val="24"/>
        </w:rPr>
        <w:t xml:space="preserve"> à isoler</w:t>
      </w:r>
    </w:p>
    <w:p w14:paraId="752A4506" w14:textId="4BB606E3" w:rsidR="00C326FA" w:rsidRPr="003C34C2" w:rsidRDefault="00C326FA" w:rsidP="003C34C2">
      <w:r>
        <w:t xml:space="preserve">Les OFS </w:t>
      </w:r>
      <w:r w:rsidR="00151983">
        <w:t xml:space="preserve">peuvent </w:t>
      </w:r>
      <w:r>
        <w:t>octroyer des prêts aux entreprises non financières dans le cadre de leur passeport ELTIF ou sans le passeport.</w:t>
      </w:r>
    </w:p>
    <w:p w14:paraId="074B2CB3" w14:textId="17578CBE" w:rsidR="003C34C2" w:rsidRDefault="003C34C2" w:rsidP="003C34C2">
      <w:r w:rsidRPr="003C34C2">
        <w:t>L’</w:t>
      </w:r>
      <w:r w:rsidRPr="00D64020">
        <w:t>identification de</w:t>
      </w:r>
      <w:r w:rsidR="00C326FA">
        <w:t xml:space="preserve"> ce</w:t>
      </w:r>
      <w:r w:rsidRPr="00D64020">
        <w:t>s prêts passe par la création d’une rubrique « prêt »</w:t>
      </w:r>
      <w:r w:rsidR="00D06400">
        <w:t xml:space="preserve"> dans les comptes dans la nomenclature BDF</w:t>
      </w:r>
      <w:r w:rsidRPr="00D64020">
        <w:t xml:space="preserve">. </w:t>
      </w:r>
    </w:p>
    <w:p w14:paraId="282F4982" w14:textId="76FE3D9F" w:rsidR="00CE4178" w:rsidRPr="00ED5909" w:rsidRDefault="008C5682" w:rsidP="00683A95">
      <w:pPr>
        <w:pBdr>
          <w:top w:val="single" w:sz="4" w:space="1" w:color="auto"/>
          <w:left w:val="single" w:sz="4" w:space="4" w:color="auto"/>
          <w:bottom w:val="single" w:sz="4" w:space="1" w:color="auto"/>
          <w:right w:val="single" w:sz="4" w:space="4" w:color="auto"/>
        </w:pBdr>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683A95" w:rsidRPr="00ED5909">
        <w:rPr>
          <w:b/>
          <w:color w:val="00B050"/>
        </w:rPr>
        <w:t>L’information n’est pas facilement disponible. Cependant pour certaines caté</w:t>
      </w:r>
      <w:r w:rsidR="00AB213F" w:rsidRPr="00ED5909">
        <w:rPr>
          <w:b/>
          <w:color w:val="00B050"/>
        </w:rPr>
        <w:t xml:space="preserve">gories de fonds (fonds à risque, </w:t>
      </w:r>
      <w:r w:rsidR="00683A95" w:rsidRPr="00ED5909">
        <w:rPr>
          <w:b/>
          <w:color w:val="00B050"/>
        </w:rPr>
        <w:t xml:space="preserve">OFS, FPS) un compte de prêt existe </w:t>
      </w:r>
      <w:r w:rsidR="00AB213F" w:rsidRPr="00ED5909">
        <w:rPr>
          <w:b/>
          <w:color w:val="00B050"/>
        </w:rPr>
        <w:t xml:space="preserve">ou peut être utiliser à cet effet </w:t>
      </w:r>
      <w:r w:rsidR="00683A95" w:rsidRPr="00ED5909">
        <w:rPr>
          <w:b/>
          <w:color w:val="00B050"/>
        </w:rPr>
        <w:t>(365000 pour les OFS, 366000 avances en compte courant pour les FCPR</w:t>
      </w:r>
      <w:r w:rsidR="006E202E">
        <w:rPr>
          <w:b/>
          <w:color w:val="00B050"/>
        </w:rPr>
        <w:t>,</w:t>
      </w:r>
      <w:r w:rsidR="00683A95" w:rsidRPr="00ED5909">
        <w:rPr>
          <w:b/>
          <w:color w:val="00B050"/>
        </w:rPr>
        <w:t xml:space="preserve"> utilisé pour des prêts).</w:t>
      </w:r>
    </w:p>
    <w:p w14:paraId="389F464E" w14:textId="0D7DC576" w:rsidR="00337DA0" w:rsidRDefault="00337DA0" w:rsidP="00337DA0">
      <w:pPr>
        <w:rPr>
          <w:color w:val="ED7D31" w:themeColor="accent2"/>
          <w:sz w:val="24"/>
        </w:rPr>
      </w:pPr>
      <w:r w:rsidRPr="0016165B">
        <w:rPr>
          <w:color w:val="ED7D31" w:themeColor="accent2"/>
          <w:sz w:val="24"/>
        </w:rPr>
        <w:t>-</w:t>
      </w:r>
      <w:r w:rsidR="00D06400">
        <w:rPr>
          <w:color w:val="ED7D31" w:themeColor="accent2"/>
          <w:sz w:val="24"/>
        </w:rPr>
        <w:t xml:space="preserve">Détails sur capitaux propres : </w:t>
      </w:r>
      <w:r>
        <w:rPr>
          <w:color w:val="ED7D31" w:themeColor="accent2"/>
          <w:sz w:val="24"/>
        </w:rPr>
        <w:t xml:space="preserve">émission de titres de créances </w:t>
      </w:r>
    </w:p>
    <w:p w14:paraId="00DFE4F3" w14:textId="0F876B8E" w:rsidR="00D06400" w:rsidRDefault="00D06400" w:rsidP="003C34C2">
      <w:r>
        <w:t>Pour se financer, les OFS pourront émettre des parts, mais aussi des actions et des titres de créances. S</w:t>
      </w:r>
      <w:r w:rsidR="00151983">
        <w:t>i</w:t>
      </w:r>
      <w:r>
        <w:t xml:space="preserve"> l’émission d’action</w:t>
      </w:r>
      <w:r w:rsidR="00151983">
        <w:t>s</w:t>
      </w:r>
      <w:r>
        <w:t xml:space="preserve"> peut </w:t>
      </w:r>
      <w:r w:rsidR="00151983">
        <w:t>ê</w:t>
      </w:r>
      <w:r>
        <w:t xml:space="preserve">tre </w:t>
      </w:r>
      <w:r w:rsidR="00151983">
        <w:t>assimilée à une émission de</w:t>
      </w:r>
      <w:r>
        <w:t xml:space="preserve"> parts</w:t>
      </w:r>
      <w:r w:rsidR="003B38CB">
        <w:t xml:space="preserve"> et donc déclarée comme telle</w:t>
      </w:r>
      <w:r>
        <w:t xml:space="preserve">, les titres de créances devront </w:t>
      </w:r>
      <w:r w:rsidR="003B38CB">
        <w:t xml:space="preserve">être </w:t>
      </w:r>
      <w:r>
        <w:t>isol</w:t>
      </w:r>
      <w:r w:rsidR="003B38CB">
        <w:t>és</w:t>
      </w:r>
      <w:r>
        <w:t>.</w:t>
      </w:r>
    </w:p>
    <w:p w14:paraId="1D43D262" w14:textId="0D5F32BD" w:rsidR="00624BE7" w:rsidRDefault="008C5682" w:rsidP="00EC678E">
      <w:pPr>
        <w:pBdr>
          <w:top w:val="single" w:sz="4" w:space="1" w:color="auto"/>
          <w:left w:val="single" w:sz="4" w:space="4" w:color="auto"/>
          <w:bottom w:val="single" w:sz="4" w:space="1" w:color="auto"/>
          <w:right w:val="single" w:sz="4" w:space="4" w:color="auto"/>
        </w:pBdr>
        <w:spacing w:after="0"/>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EC678E" w:rsidRPr="00ED5909">
        <w:rPr>
          <w:b/>
          <w:color w:val="00B050"/>
        </w:rPr>
        <w:t>Au</w:t>
      </w:r>
      <w:r w:rsidR="00624BE7" w:rsidRPr="00ED5909">
        <w:rPr>
          <w:b/>
          <w:color w:val="00B050"/>
        </w:rPr>
        <w:t xml:space="preserve"> passif des OFS </w:t>
      </w:r>
      <w:r w:rsidR="00EC678E" w:rsidRPr="00ED5909">
        <w:rPr>
          <w:b/>
          <w:color w:val="00B050"/>
        </w:rPr>
        <w:t>est prévu le financement par</w:t>
      </w:r>
      <w:r w:rsidR="00C10E51">
        <w:rPr>
          <w:b/>
          <w:color w:val="00B050"/>
        </w:rPr>
        <w:t> </w:t>
      </w:r>
      <w:r w:rsidR="00624BE7" w:rsidRPr="00ED5909">
        <w:rPr>
          <w:b/>
          <w:color w:val="00B050"/>
        </w:rPr>
        <w:t>emprunts obligataires</w:t>
      </w:r>
      <w:r w:rsidR="00C10E51">
        <w:rPr>
          <w:b/>
          <w:color w:val="00B050"/>
        </w:rPr>
        <w:t xml:space="preserve">, </w:t>
      </w:r>
      <w:r w:rsidR="00624BE7" w:rsidRPr="00ED5909">
        <w:rPr>
          <w:b/>
          <w:color w:val="00B050"/>
        </w:rPr>
        <w:t>titres de créances</w:t>
      </w:r>
      <w:r w:rsidR="00C10E51">
        <w:rPr>
          <w:b/>
          <w:color w:val="00B050"/>
        </w:rPr>
        <w:t xml:space="preserve"> et </w:t>
      </w:r>
      <w:r w:rsidR="00AB213F" w:rsidRPr="00ED5909">
        <w:rPr>
          <w:b/>
          <w:color w:val="00B050"/>
        </w:rPr>
        <w:t>émissions d’actions</w:t>
      </w:r>
      <w:r w:rsidR="00624BE7" w:rsidRPr="00ED5909">
        <w:rPr>
          <w:b/>
          <w:color w:val="00B050"/>
        </w:rPr>
        <w:t xml:space="preserve"> </w:t>
      </w:r>
    </w:p>
    <w:p w14:paraId="152F6F67" w14:textId="09DE464A" w:rsidR="00905846" w:rsidRPr="00ED5909" w:rsidRDefault="00905846" w:rsidP="00EC678E">
      <w:pPr>
        <w:pBdr>
          <w:top w:val="single" w:sz="4" w:space="1" w:color="auto"/>
          <w:left w:val="single" w:sz="4" w:space="4" w:color="auto"/>
          <w:bottom w:val="single" w:sz="4" w:space="1" w:color="auto"/>
          <w:right w:val="single" w:sz="4" w:space="4" w:color="auto"/>
        </w:pBdr>
        <w:spacing w:after="0"/>
        <w:rPr>
          <w:b/>
          <w:color w:val="00B050"/>
        </w:rPr>
      </w:pPr>
      <w:r>
        <w:rPr>
          <w:b/>
          <w:color w:val="00B050"/>
        </w:rPr>
        <w:t>Ils devront être notifiés en valeur de marché.</w:t>
      </w:r>
    </w:p>
    <w:p w14:paraId="20D79203" w14:textId="09EFD4D7" w:rsidR="00D06400" w:rsidRPr="008C5682" w:rsidRDefault="00F10B70" w:rsidP="00E762CD">
      <w:pPr>
        <w:spacing w:before="120"/>
      </w:pPr>
      <w:r>
        <w:t>À</w:t>
      </w:r>
      <w:r w:rsidR="00D06400">
        <w:t xml:space="preserve"> noter que le </w:t>
      </w:r>
      <w:r w:rsidR="00914044">
        <w:t xml:space="preserve">capital </w:t>
      </w:r>
      <w:r w:rsidR="00F367E4">
        <w:t xml:space="preserve">de ces fonds </w:t>
      </w:r>
      <w:r w:rsidR="00914044">
        <w:t>pourra être proche de</w:t>
      </w:r>
      <w:r w:rsidR="009E2A88">
        <w:t xml:space="preserve"> 0 malgré un bilan conséquent. L</w:t>
      </w:r>
      <w:r w:rsidR="00914044">
        <w:t>e recours à l’emprunt n’é</w:t>
      </w:r>
      <w:r w:rsidR="003C34C2" w:rsidRPr="00A03770">
        <w:t>t</w:t>
      </w:r>
      <w:r w:rsidR="00914044">
        <w:t>ant pas limité, les actifs au bilan pourront être financé</w:t>
      </w:r>
      <w:r w:rsidR="00931C4A">
        <w:t>s</w:t>
      </w:r>
      <w:r w:rsidR="00914044">
        <w:t xml:space="preserve"> par la dette</w:t>
      </w:r>
      <w:r w:rsidR="00F367E4">
        <w:t>,</w:t>
      </w:r>
      <w:r w:rsidR="00914044">
        <w:t xml:space="preserve"> ceci sans limite </w:t>
      </w:r>
      <w:r w:rsidR="00D06400">
        <w:t>imposé</w:t>
      </w:r>
      <w:r w:rsidR="00931C4A">
        <w:t>e</w:t>
      </w:r>
      <w:r w:rsidR="008C5682">
        <w:t>.</w:t>
      </w:r>
    </w:p>
    <w:p w14:paraId="4E5B5CAC" w14:textId="77777777" w:rsidR="00D06400" w:rsidRPr="00FC7F86" w:rsidRDefault="00D06400" w:rsidP="00D06400">
      <w:pPr>
        <w:rPr>
          <w:color w:val="ED7D31" w:themeColor="accent2"/>
        </w:rPr>
      </w:pPr>
      <w:r w:rsidRPr="0016165B">
        <w:rPr>
          <w:color w:val="ED7D31" w:themeColor="accent2"/>
          <w:sz w:val="24"/>
        </w:rPr>
        <w:t>-Ventilation du capital : distinction entre le compte capital appelé et le compte capital souscrit</w:t>
      </w:r>
    </w:p>
    <w:p w14:paraId="21FF0522" w14:textId="3B70E435" w:rsidR="00D06400" w:rsidRDefault="00D06400" w:rsidP="00D06400">
      <w:r w:rsidRPr="00692C20">
        <w:t>Il sera demandé aux remettants de fournir</w:t>
      </w:r>
      <w:r>
        <w:t xml:space="preserve"> cette répartition</w:t>
      </w:r>
      <w:r w:rsidR="00931C4A" w:rsidRPr="00931C4A">
        <w:t xml:space="preserve"> </w:t>
      </w:r>
      <w:r w:rsidR="00931C4A">
        <w:t>dans le cadre d’</w:t>
      </w:r>
      <w:r w:rsidR="00931C4A" w:rsidRPr="00692C20">
        <w:t>OPC2</w:t>
      </w:r>
      <w:r w:rsidR="00B654EB">
        <w:t>.</w:t>
      </w:r>
    </w:p>
    <w:p w14:paraId="49B3CB8A" w14:textId="706C757B" w:rsidR="00D06400" w:rsidRPr="008C5682" w:rsidRDefault="00D06400" w:rsidP="00D06400">
      <w:pPr>
        <w:rPr>
          <w:i/>
          <w:color w:val="1F4E79" w:themeColor="accent1" w:themeShade="80"/>
        </w:rPr>
      </w:pPr>
      <w:r w:rsidRPr="0016165B">
        <w:rPr>
          <w:b/>
          <w:color w:val="44546A" w:themeColor="text2"/>
        </w:rPr>
        <w:t>Retour des discussions en atelier </w:t>
      </w:r>
      <w:r w:rsidRPr="0016165B">
        <w:rPr>
          <w:i/>
          <w:color w:val="1F4E79" w:themeColor="accent1" w:themeShade="80"/>
        </w:rPr>
        <w:t>: il devrait être possible pour les remettants de nous transmettre ce détail</w:t>
      </w:r>
      <w:r w:rsidR="00B654EB">
        <w:rPr>
          <w:i/>
          <w:color w:val="1F4E79" w:themeColor="accent1" w:themeShade="80"/>
        </w:rPr>
        <w:t xml:space="preserve"> pour les FPS</w:t>
      </w:r>
      <w:r w:rsidRPr="0016165B">
        <w:rPr>
          <w:i/>
          <w:color w:val="1F4E79" w:themeColor="accent1" w:themeShade="80"/>
        </w:rPr>
        <w:t xml:space="preserve"> </w:t>
      </w:r>
    </w:p>
    <w:p w14:paraId="24952FA6" w14:textId="275696EB" w:rsidR="00624BE7" w:rsidRPr="00ED5909" w:rsidRDefault="008C5682" w:rsidP="00624BE7">
      <w:pPr>
        <w:pBdr>
          <w:top w:val="single" w:sz="4" w:space="1" w:color="auto"/>
          <w:left w:val="single" w:sz="4" w:space="4" w:color="auto"/>
          <w:bottom w:val="single" w:sz="4" w:space="1" w:color="auto"/>
          <w:right w:val="single" w:sz="4" w:space="4" w:color="auto"/>
        </w:pBdr>
        <w:spacing w:after="0"/>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624BE7" w:rsidRPr="00ED5909">
        <w:rPr>
          <w:b/>
          <w:color w:val="00B050"/>
        </w:rPr>
        <w:t>La communication d</w:t>
      </w:r>
      <w:r w:rsidR="009F7A19" w:rsidRPr="00ED5909">
        <w:rPr>
          <w:b/>
          <w:color w:val="00B050"/>
        </w:rPr>
        <w:t>e l’information d</w:t>
      </w:r>
      <w:r w:rsidR="00624BE7" w:rsidRPr="00ED5909">
        <w:rPr>
          <w:b/>
          <w:color w:val="00B050"/>
        </w:rPr>
        <w:t>u capital souscrit non appelé est possible. Le compte correspondant est bien identifié dans le plan comptable.</w:t>
      </w:r>
    </w:p>
    <w:p w14:paraId="7F120008" w14:textId="4573E93E" w:rsidR="00D06400" w:rsidRPr="0016165B" w:rsidRDefault="00D06400" w:rsidP="00624BE7">
      <w:pPr>
        <w:spacing w:before="120"/>
        <w:rPr>
          <w:color w:val="ED7D31" w:themeColor="accent2"/>
          <w:sz w:val="24"/>
        </w:rPr>
      </w:pPr>
      <w:r w:rsidRPr="0016165B">
        <w:rPr>
          <w:color w:val="ED7D31" w:themeColor="accent2"/>
          <w:sz w:val="24"/>
        </w:rPr>
        <w:t>-</w:t>
      </w:r>
      <w:r>
        <w:rPr>
          <w:color w:val="ED7D31" w:themeColor="accent2"/>
          <w:sz w:val="24"/>
        </w:rPr>
        <w:t>D</w:t>
      </w:r>
      <w:r w:rsidRPr="0016165B">
        <w:rPr>
          <w:color w:val="ED7D31" w:themeColor="accent2"/>
          <w:sz w:val="24"/>
        </w:rPr>
        <w:t xml:space="preserve">ividendes : remboursement du capital initial à isoler </w:t>
      </w:r>
    </w:p>
    <w:p w14:paraId="70983AD3" w14:textId="69EAB2C2" w:rsidR="00D06400" w:rsidRPr="008C5682" w:rsidRDefault="00D06400" w:rsidP="00D06400">
      <w:r>
        <w:t>Mesurer le remboursement du capital est important pour ne pas surestimer les revenus versés au porteur de part</w:t>
      </w:r>
      <w:r w:rsidR="008C5682">
        <w:t>.</w:t>
      </w:r>
    </w:p>
    <w:p w14:paraId="1B159DAD" w14:textId="573A2C5A" w:rsidR="00D06400" w:rsidRPr="008C5682" w:rsidRDefault="00D06400" w:rsidP="00D06400">
      <w:pPr>
        <w:rPr>
          <w:i/>
          <w:color w:val="1F4E79" w:themeColor="accent1" w:themeShade="80"/>
        </w:rPr>
      </w:pPr>
      <w:r w:rsidRPr="0016165B">
        <w:rPr>
          <w:b/>
          <w:color w:val="44546A" w:themeColor="text2"/>
        </w:rPr>
        <w:lastRenderedPageBreak/>
        <w:t>Retour des discussions en atelier </w:t>
      </w:r>
      <w:r w:rsidRPr="0016165B">
        <w:rPr>
          <w:i/>
          <w:color w:val="1F4E79" w:themeColor="accent1" w:themeShade="80"/>
        </w:rPr>
        <w:t>: il devrait être possible pour les remettants de nous transmettre ce détail</w:t>
      </w:r>
      <w:r w:rsidR="008C5682" w:rsidRPr="008C5682">
        <w:rPr>
          <w:i/>
          <w:color w:val="1F4E79" w:themeColor="accent1" w:themeShade="80"/>
        </w:rPr>
        <w:t>.</w:t>
      </w:r>
    </w:p>
    <w:p w14:paraId="4F62EBAE" w14:textId="1F470687" w:rsidR="001B2517" w:rsidRDefault="008C5682" w:rsidP="00C10E51">
      <w:pPr>
        <w:pBdr>
          <w:top w:val="single" w:sz="4" w:space="1" w:color="auto"/>
          <w:left w:val="single" w:sz="4" w:space="4" w:color="auto"/>
          <w:bottom w:val="single" w:sz="4" w:space="1" w:color="auto"/>
          <w:right w:val="single" w:sz="4" w:space="4" w:color="auto"/>
        </w:pBdr>
        <w:spacing w:after="0"/>
        <w:rPr>
          <w:b/>
          <w:color w:val="00B050"/>
        </w:rPr>
      </w:pPr>
      <w:r>
        <w:rPr>
          <w:b/>
          <w:color w:val="00B050"/>
        </w:rPr>
        <w:t>R</w:t>
      </w:r>
      <w:r w:rsidR="001B2517" w:rsidRPr="00E954F5">
        <w:rPr>
          <w:b/>
          <w:color w:val="00B050"/>
        </w:rPr>
        <w:t>éponse dans la réunion de conclusion des ateliers :</w:t>
      </w:r>
      <w:r w:rsidR="001B2517">
        <w:rPr>
          <w:b/>
          <w:color w:val="00B050"/>
        </w:rPr>
        <w:t xml:space="preserve"> </w:t>
      </w:r>
      <w:r w:rsidR="00624BE7" w:rsidRPr="00ED5909">
        <w:rPr>
          <w:b/>
          <w:color w:val="00B050"/>
        </w:rPr>
        <w:t>La distinction entre le remboursement du capital nominal et les plus-values lors d’une distribution est possible. Cette ventilation est déjà opérée actuellement pour confectionner le tableau d’évolution de l’actif ou tableau d’évolution du capital (pour les FCPR).</w:t>
      </w:r>
    </w:p>
    <w:p w14:paraId="5DC0E967" w14:textId="77777777" w:rsidR="001B2517" w:rsidRDefault="001B2517">
      <w:pPr>
        <w:rPr>
          <w:b/>
          <w:color w:val="00B050"/>
        </w:rPr>
      </w:pPr>
      <w:r>
        <w:rPr>
          <w:b/>
          <w:color w:val="00B050"/>
        </w:rPr>
        <w:br w:type="page"/>
      </w:r>
    </w:p>
    <w:p w14:paraId="739E5808" w14:textId="77777777" w:rsidR="00624BE7" w:rsidRPr="00C10E51" w:rsidRDefault="00624BE7" w:rsidP="007F5325">
      <w:pPr>
        <w:spacing w:after="0"/>
        <w:rPr>
          <w:b/>
          <w:color w:val="00B050"/>
        </w:rPr>
      </w:pPr>
    </w:p>
    <w:p w14:paraId="7303858D" w14:textId="2A5525BF" w:rsidR="00732FEF" w:rsidRPr="00F10B70" w:rsidRDefault="00607935" w:rsidP="00607935">
      <w:pPr>
        <w:pBdr>
          <w:top w:val="single" w:sz="4" w:space="1" w:color="auto"/>
          <w:left w:val="single" w:sz="4" w:space="4" w:color="auto"/>
          <w:bottom w:val="single" w:sz="4" w:space="1" w:color="auto"/>
          <w:right w:val="single" w:sz="4" w:space="1" w:color="auto"/>
        </w:pBdr>
        <w:ind w:left="1985" w:right="1843" w:hanging="284"/>
        <w:jc w:val="center"/>
        <w:rPr>
          <w:b/>
          <w:color w:val="1F4E79" w:themeColor="accent1" w:themeShade="80"/>
          <w:sz w:val="28"/>
          <w:szCs w:val="26"/>
        </w:rPr>
      </w:pPr>
      <w:r>
        <w:rPr>
          <w:b/>
          <w:color w:val="1F4E79" w:themeColor="accent1" w:themeShade="80"/>
          <w:sz w:val="28"/>
          <w:szCs w:val="26"/>
        </w:rPr>
        <w:t xml:space="preserve">Annexe - </w:t>
      </w:r>
      <w:r w:rsidR="00732FEF" w:rsidRPr="00F10B70">
        <w:rPr>
          <w:b/>
          <w:color w:val="1F4E79" w:themeColor="accent1" w:themeShade="80"/>
          <w:sz w:val="28"/>
          <w:szCs w:val="26"/>
        </w:rPr>
        <w:t>Participants aux groupes de travail</w:t>
      </w:r>
    </w:p>
    <w:p w14:paraId="5894AB12" w14:textId="77777777" w:rsidR="004E7FED" w:rsidRPr="000E5B32" w:rsidRDefault="004E7FED" w:rsidP="00732FEF">
      <w:pPr>
        <w:rPr>
          <w:b/>
          <w:color w:val="44546A" w:themeColor="text2"/>
          <w:sz w:val="2"/>
        </w:rPr>
      </w:pPr>
    </w:p>
    <w:p w14:paraId="1626A825" w14:textId="24A456D3" w:rsidR="004E7FED" w:rsidRDefault="004E7FED" w:rsidP="00CE4178">
      <w:pPr>
        <w:spacing w:after="120"/>
        <w:rPr>
          <w:b/>
          <w:color w:val="44546A" w:themeColor="text2"/>
        </w:rPr>
      </w:pPr>
      <w:r>
        <w:rPr>
          <w:b/>
          <w:color w:val="44546A" w:themeColor="text2"/>
        </w:rPr>
        <w:t xml:space="preserve">Représentants Banque de France </w:t>
      </w:r>
    </w:p>
    <w:tbl>
      <w:tblPr>
        <w:tblStyle w:val="Grilledutableau"/>
        <w:tblW w:w="9430" w:type="dxa"/>
        <w:tblLook w:val="04A0" w:firstRow="1" w:lastRow="0" w:firstColumn="1" w:lastColumn="0" w:noHBand="0" w:noVBand="1"/>
      </w:tblPr>
      <w:tblGrid>
        <w:gridCol w:w="4715"/>
        <w:gridCol w:w="4715"/>
      </w:tblGrid>
      <w:tr w:rsidR="004E7FED" w:rsidRPr="001322F4" w14:paraId="4BDD4CB6" w14:textId="77777777" w:rsidTr="00CE4178">
        <w:trPr>
          <w:trHeight w:val="264"/>
        </w:trPr>
        <w:tc>
          <w:tcPr>
            <w:tcW w:w="4715" w:type="dxa"/>
          </w:tcPr>
          <w:p w14:paraId="64A88A5A" w14:textId="77777777" w:rsidR="004E7FED" w:rsidRPr="00CE4178" w:rsidRDefault="004E7FED" w:rsidP="00F17B2A">
            <w:pPr>
              <w:jc w:val="center"/>
              <w:rPr>
                <w:rFonts w:cstheme="minorHAnsi"/>
                <w:sz w:val="18"/>
                <w:szCs w:val="28"/>
              </w:rPr>
            </w:pPr>
            <w:r w:rsidRPr="00CE4178">
              <w:rPr>
                <w:rFonts w:cstheme="minorHAnsi"/>
                <w:sz w:val="18"/>
                <w:szCs w:val="28"/>
              </w:rPr>
              <w:t>Corinne DEVILLERS</w:t>
            </w:r>
          </w:p>
        </w:tc>
        <w:tc>
          <w:tcPr>
            <w:tcW w:w="4715" w:type="dxa"/>
          </w:tcPr>
          <w:p w14:paraId="30D08DD1" w14:textId="77777777" w:rsidR="004E7FED" w:rsidRPr="00CE4178" w:rsidRDefault="004E7FED" w:rsidP="00F17B2A">
            <w:pPr>
              <w:jc w:val="center"/>
              <w:rPr>
                <w:rFonts w:cstheme="minorHAnsi"/>
                <w:sz w:val="18"/>
                <w:szCs w:val="28"/>
              </w:rPr>
            </w:pPr>
            <w:r w:rsidRPr="00CE4178">
              <w:rPr>
                <w:rFonts w:cstheme="minorHAnsi"/>
                <w:sz w:val="18"/>
                <w:szCs w:val="28"/>
              </w:rPr>
              <w:t>Banque de France</w:t>
            </w:r>
          </w:p>
        </w:tc>
      </w:tr>
      <w:tr w:rsidR="004E7FED" w:rsidRPr="001322F4" w14:paraId="6314C257" w14:textId="77777777" w:rsidTr="00CE4178">
        <w:trPr>
          <w:trHeight w:val="264"/>
        </w:trPr>
        <w:tc>
          <w:tcPr>
            <w:tcW w:w="4715" w:type="dxa"/>
          </w:tcPr>
          <w:p w14:paraId="03D4CE64" w14:textId="77777777" w:rsidR="004E7FED" w:rsidRPr="00CE4178" w:rsidRDefault="004E7FED" w:rsidP="00F17B2A">
            <w:pPr>
              <w:jc w:val="center"/>
              <w:rPr>
                <w:rFonts w:cstheme="minorHAnsi"/>
                <w:sz w:val="18"/>
                <w:szCs w:val="28"/>
              </w:rPr>
            </w:pPr>
            <w:r w:rsidRPr="00CE4178">
              <w:rPr>
                <w:rFonts w:cstheme="minorHAnsi"/>
                <w:sz w:val="18"/>
                <w:szCs w:val="28"/>
              </w:rPr>
              <w:t>Emilie CANDUS</w:t>
            </w:r>
          </w:p>
        </w:tc>
        <w:tc>
          <w:tcPr>
            <w:tcW w:w="4715" w:type="dxa"/>
          </w:tcPr>
          <w:p w14:paraId="15FE97DD" w14:textId="77777777" w:rsidR="004E7FED" w:rsidRPr="00CE4178" w:rsidRDefault="004E7FED" w:rsidP="00F17B2A">
            <w:pPr>
              <w:jc w:val="center"/>
              <w:rPr>
                <w:rFonts w:cstheme="minorHAnsi"/>
                <w:sz w:val="18"/>
                <w:szCs w:val="28"/>
              </w:rPr>
            </w:pPr>
            <w:r w:rsidRPr="00CE4178">
              <w:rPr>
                <w:rFonts w:cstheme="minorHAnsi"/>
                <w:sz w:val="18"/>
                <w:szCs w:val="28"/>
              </w:rPr>
              <w:t>Banque de France</w:t>
            </w:r>
          </w:p>
        </w:tc>
      </w:tr>
      <w:tr w:rsidR="004E7FED" w:rsidRPr="001322F4" w14:paraId="2B202DCF" w14:textId="77777777" w:rsidTr="00CE4178">
        <w:trPr>
          <w:trHeight w:val="264"/>
        </w:trPr>
        <w:tc>
          <w:tcPr>
            <w:tcW w:w="4715" w:type="dxa"/>
          </w:tcPr>
          <w:p w14:paraId="2E706144" w14:textId="77777777" w:rsidR="004E7FED" w:rsidRPr="00CE4178" w:rsidRDefault="004E7FED" w:rsidP="00F17B2A">
            <w:pPr>
              <w:jc w:val="center"/>
              <w:rPr>
                <w:rFonts w:cstheme="minorHAnsi"/>
                <w:sz w:val="18"/>
                <w:szCs w:val="28"/>
              </w:rPr>
            </w:pPr>
            <w:r w:rsidRPr="00CE4178">
              <w:rPr>
                <w:rFonts w:cstheme="minorHAnsi"/>
                <w:sz w:val="18"/>
                <w:szCs w:val="28"/>
              </w:rPr>
              <w:t>Maxime PONSART</w:t>
            </w:r>
          </w:p>
        </w:tc>
        <w:tc>
          <w:tcPr>
            <w:tcW w:w="4715" w:type="dxa"/>
          </w:tcPr>
          <w:p w14:paraId="2850497E" w14:textId="77777777" w:rsidR="004E7FED" w:rsidRPr="00CE4178" w:rsidRDefault="004E7FED" w:rsidP="00F17B2A">
            <w:pPr>
              <w:jc w:val="center"/>
              <w:rPr>
                <w:rFonts w:cstheme="minorHAnsi"/>
                <w:sz w:val="18"/>
                <w:szCs w:val="28"/>
              </w:rPr>
            </w:pPr>
            <w:r w:rsidRPr="00CE4178">
              <w:rPr>
                <w:rFonts w:cstheme="minorHAnsi"/>
                <w:sz w:val="18"/>
                <w:szCs w:val="28"/>
              </w:rPr>
              <w:t>Banque de France</w:t>
            </w:r>
          </w:p>
        </w:tc>
      </w:tr>
      <w:tr w:rsidR="004E7FED" w:rsidRPr="001322F4" w14:paraId="41DD83C6" w14:textId="77777777" w:rsidTr="00CE4178">
        <w:trPr>
          <w:trHeight w:val="246"/>
        </w:trPr>
        <w:tc>
          <w:tcPr>
            <w:tcW w:w="4715" w:type="dxa"/>
          </w:tcPr>
          <w:p w14:paraId="0C8A192C" w14:textId="77777777" w:rsidR="004E7FED" w:rsidRPr="00CE4178" w:rsidRDefault="004E7FED" w:rsidP="00F17B2A">
            <w:pPr>
              <w:jc w:val="center"/>
              <w:rPr>
                <w:rFonts w:cstheme="minorHAnsi"/>
                <w:sz w:val="18"/>
                <w:szCs w:val="28"/>
              </w:rPr>
            </w:pPr>
            <w:r w:rsidRPr="00CE4178">
              <w:rPr>
                <w:rFonts w:cstheme="minorHAnsi"/>
                <w:sz w:val="18"/>
                <w:szCs w:val="28"/>
              </w:rPr>
              <w:t>Jean Luc LE GOFF</w:t>
            </w:r>
          </w:p>
        </w:tc>
        <w:tc>
          <w:tcPr>
            <w:tcW w:w="4715" w:type="dxa"/>
          </w:tcPr>
          <w:p w14:paraId="28F45E97" w14:textId="77777777" w:rsidR="004E7FED" w:rsidRPr="00CE4178" w:rsidRDefault="004E7FED" w:rsidP="00F17B2A">
            <w:pPr>
              <w:jc w:val="center"/>
              <w:rPr>
                <w:rFonts w:cstheme="minorHAnsi"/>
                <w:sz w:val="18"/>
                <w:szCs w:val="28"/>
              </w:rPr>
            </w:pPr>
            <w:r w:rsidRPr="00CE4178">
              <w:rPr>
                <w:rFonts w:cstheme="minorHAnsi"/>
                <w:sz w:val="18"/>
                <w:szCs w:val="28"/>
              </w:rPr>
              <w:t>Banque de France</w:t>
            </w:r>
          </w:p>
        </w:tc>
      </w:tr>
    </w:tbl>
    <w:p w14:paraId="164D87A3" w14:textId="307D32F1" w:rsidR="004E7FED" w:rsidRPr="00CE4178" w:rsidRDefault="004E7FED" w:rsidP="00CE4178">
      <w:pPr>
        <w:spacing w:line="240" w:lineRule="auto"/>
        <w:rPr>
          <w:b/>
          <w:color w:val="44546A" w:themeColor="text2"/>
          <w:sz w:val="2"/>
        </w:rPr>
      </w:pPr>
    </w:p>
    <w:p w14:paraId="32239698" w14:textId="7AB9FBC1" w:rsidR="00CE4178" w:rsidRDefault="004E7FED" w:rsidP="00CE4178">
      <w:pPr>
        <w:spacing w:after="120" w:line="240" w:lineRule="auto"/>
        <w:rPr>
          <w:b/>
          <w:color w:val="44546A" w:themeColor="text2"/>
        </w:rPr>
      </w:pPr>
      <w:r>
        <w:rPr>
          <w:b/>
          <w:color w:val="44546A" w:themeColor="text2"/>
        </w:rPr>
        <w:t xml:space="preserve">Représentants des professionnels </w:t>
      </w:r>
      <w:r w:rsidR="00CE4178">
        <w:rPr>
          <w:b/>
          <w:color w:val="44546A" w:themeColor="text2"/>
        </w:rPr>
        <w:t>(Remettants/Société de gestion/ Association de professionnels)</w:t>
      </w:r>
    </w:p>
    <w:p w14:paraId="4E1813D4" w14:textId="5DE84172" w:rsidR="004E7FED" w:rsidRDefault="00CE4178" w:rsidP="00CE4178">
      <w:pPr>
        <w:spacing w:after="120" w:line="240" w:lineRule="auto"/>
        <w:rPr>
          <w:b/>
          <w:color w:val="44546A" w:themeColor="text2"/>
        </w:rPr>
      </w:pPr>
      <w:r>
        <w:rPr>
          <w:b/>
          <w:color w:val="44546A" w:themeColor="text2"/>
        </w:rPr>
        <w:t>Groupe OPCVM</w:t>
      </w:r>
    </w:p>
    <w:tbl>
      <w:tblPr>
        <w:tblStyle w:val="Grilledutableau"/>
        <w:tblW w:w="9452" w:type="dxa"/>
        <w:tblLook w:val="04A0" w:firstRow="1" w:lastRow="0" w:firstColumn="1" w:lastColumn="0" w:noHBand="0" w:noVBand="1"/>
      </w:tblPr>
      <w:tblGrid>
        <w:gridCol w:w="4726"/>
        <w:gridCol w:w="4726"/>
      </w:tblGrid>
      <w:tr w:rsidR="00732FEF" w:rsidRPr="001322F4" w14:paraId="52D3FF24" w14:textId="77777777" w:rsidTr="00CE4178">
        <w:trPr>
          <w:trHeight w:val="256"/>
        </w:trPr>
        <w:tc>
          <w:tcPr>
            <w:tcW w:w="4726" w:type="dxa"/>
          </w:tcPr>
          <w:p w14:paraId="24B35596" w14:textId="77777777" w:rsidR="00732FEF" w:rsidRPr="00CE4178" w:rsidRDefault="00732FEF" w:rsidP="00F17B2A">
            <w:pPr>
              <w:jc w:val="center"/>
              <w:rPr>
                <w:rFonts w:cstheme="minorHAnsi"/>
                <w:sz w:val="18"/>
                <w:szCs w:val="28"/>
              </w:rPr>
            </w:pPr>
            <w:r w:rsidRPr="00CE4178">
              <w:rPr>
                <w:rFonts w:cstheme="minorHAnsi"/>
                <w:sz w:val="18"/>
                <w:szCs w:val="28"/>
              </w:rPr>
              <w:t>Thomas VALLI</w:t>
            </w:r>
          </w:p>
        </w:tc>
        <w:tc>
          <w:tcPr>
            <w:tcW w:w="4726" w:type="dxa"/>
          </w:tcPr>
          <w:p w14:paraId="0EE719C3" w14:textId="77777777" w:rsidR="00732FEF" w:rsidRPr="00CE4178" w:rsidRDefault="00732FEF" w:rsidP="00F17B2A">
            <w:pPr>
              <w:jc w:val="center"/>
              <w:rPr>
                <w:rFonts w:cstheme="minorHAnsi"/>
                <w:sz w:val="18"/>
                <w:szCs w:val="28"/>
              </w:rPr>
            </w:pPr>
            <w:r w:rsidRPr="00CE4178">
              <w:rPr>
                <w:rFonts w:cstheme="minorHAnsi"/>
                <w:sz w:val="18"/>
                <w:szCs w:val="28"/>
              </w:rPr>
              <w:t xml:space="preserve">AFG </w:t>
            </w:r>
          </w:p>
        </w:tc>
      </w:tr>
      <w:tr w:rsidR="00732FEF" w:rsidRPr="001322F4" w14:paraId="1776744E" w14:textId="77777777" w:rsidTr="00CE4178">
        <w:trPr>
          <w:trHeight w:val="256"/>
        </w:trPr>
        <w:tc>
          <w:tcPr>
            <w:tcW w:w="4726" w:type="dxa"/>
          </w:tcPr>
          <w:p w14:paraId="29EFF5DA" w14:textId="77777777" w:rsidR="00732FEF" w:rsidRPr="00CE4178" w:rsidRDefault="00732FEF" w:rsidP="00F17B2A">
            <w:pPr>
              <w:jc w:val="center"/>
              <w:rPr>
                <w:rFonts w:cstheme="minorHAnsi"/>
                <w:sz w:val="18"/>
                <w:szCs w:val="28"/>
              </w:rPr>
            </w:pPr>
            <w:r w:rsidRPr="00CE4178">
              <w:rPr>
                <w:rFonts w:cstheme="minorHAnsi"/>
                <w:sz w:val="18"/>
                <w:szCs w:val="28"/>
              </w:rPr>
              <w:t>Antony BROUARD</w:t>
            </w:r>
          </w:p>
        </w:tc>
        <w:tc>
          <w:tcPr>
            <w:tcW w:w="4726" w:type="dxa"/>
          </w:tcPr>
          <w:p w14:paraId="75B763A4" w14:textId="77777777" w:rsidR="00732FEF" w:rsidRPr="00CE4178" w:rsidRDefault="00732FEF" w:rsidP="00F17B2A">
            <w:pPr>
              <w:jc w:val="center"/>
              <w:rPr>
                <w:rFonts w:cstheme="minorHAnsi"/>
                <w:sz w:val="18"/>
                <w:szCs w:val="28"/>
              </w:rPr>
            </w:pPr>
            <w:r w:rsidRPr="00CE4178">
              <w:rPr>
                <w:rFonts w:cstheme="minorHAnsi"/>
                <w:sz w:val="18"/>
                <w:szCs w:val="28"/>
              </w:rPr>
              <w:t>BPSS</w:t>
            </w:r>
          </w:p>
        </w:tc>
      </w:tr>
      <w:tr w:rsidR="00732FEF" w:rsidRPr="001322F4" w14:paraId="3B9A9E91" w14:textId="77777777" w:rsidTr="00CE4178">
        <w:trPr>
          <w:trHeight w:val="256"/>
        </w:trPr>
        <w:tc>
          <w:tcPr>
            <w:tcW w:w="4726" w:type="dxa"/>
          </w:tcPr>
          <w:p w14:paraId="36589334" w14:textId="77777777" w:rsidR="00732FEF" w:rsidRPr="00CE4178" w:rsidRDefault="00732FEF" w:rsidP="00F17B2A">
            <w:pPr>
              <w:jc w:val="center"/>
              <w:rPr>
                <w:rFonts w:cstheme="minorHAnsi"/>
                <w:sz w:val="18"/>
                <w:szCs w:val="28"/>
              </w:rPr>
            </w:pPr>
            <w:r w:rsidRPr="00CE4178">
              <w:rPr>
                <w:rFonts w:cstheme="minorHAnsi"/>
                <w:sz w:val="18"/>
                <w:szCs w:val="28"/>
              </w:rPr>
              <w:t>Christophe DAUPHIN</w:t>
            </w:r>
          </w:p>
        </w:tc>
        <w:tc>
          <w:tcPr>
            <w:tcW w:w="4726" w:type="dxa"/>
          </w:tcPr>
          <w:p w14:paraId="7F13F493" w14:textId="77777777" w:rsidR="00732FEF" w:rsidRPr="00CE4178" w:rsidRDefault="00732FEF" w:rsidP="00F17B2A">
            <w:pPr>
              <w:jc w:val="center"/>
              <w:rPr>
                <w:rFonts w:cstheme="minorHAnsi"/>
                <w:sz w:val="18"/>
                <w:szCs w:val="28"/>
              </w:rPr>
            </w:pPr>
            <w:r w:rsidRPr="00CE4178">
              <w:rPr>
                <w:rFonts w:cstheme="minorHAnsi"/>
                <w:sz w:val="18"/>
                <w:szCs w:val="28"/>
              </w:rPr>
              <w:t>BPSS</w:t>
            </w:r>
          </w:p>
        </w:tc>
      </w:tr>
      <w:tr w:rsidR="00732FEF" w:rsidRPr="001322F4" w14:paraId="3B6C943D" w14:textId="77777777" w:rsidTr="00CE4178">
        <w:trPr>
          <w:trHeight w:val="256"/>
        </w:trPr>
        <w:tc>
          <w:tcPr>
            <w:tcW w:w="4726" w:type="dxa"/>
          </w:tcPr>
          <w:p w14:paraId="35C2018F" w14:textId="77777777" w:rsidR="00732FEF" w:rsidRPr="00CE4178" w:rsidRDefault="00732FEF" w:rsidP="00F17B2A">
            <w:pPr>
              <w:jc w:val="center"/>
              <w:rPr>
                <w:rFonts w:cstheme="minorHAnsi"/>
                <w:sz w:val="18"/>
                <w:szCs w:val="28"/>
              </w:rPr>
            </w:pPr>
            <w:r w:rsidRPr="00CE4178">
              <w:rPr>
                <w:rFonts w:cstheme="minorHAnsi"/>
                <w:sz w:val="18"/>
                <w:szCs w:val="28"/>
              </w:rPr>
              <w:t>Alain DEVARENNE</w:t>
            </w:r>
          </w:p>
        </w:tc>
        <w:tc>
          <w:tcPr>
            <w:tcW w:w="4726" w:type="dxa"/>
          </w:tcPr>
          <w:p w14:paraId="6EC29F77" w14:textId="77777777" w:rsidR="00732FEF" w:rsidRPr="00CE4178" w:rsidRDefault="00732FEF" w:rsidP="00F17B2A">
            <w:pPr>
              <w:jc w:val="center"/>
              <w:rPr>
                <w:rFonts w:cstheme="minorHAnsi"/>
                <w:sz w:val="18"/>
                <w:szCs w:val="28"/>
              </w:rPr>
            </w:pPr>
            <w:r w:rsidRPr="00CE4178">
              <w:rPr>
                <w:rFonts w:cstheme="minorHAnsi"/>
                <w:sz w:val="18"/>
                <w:szCs w:val="28"/>
              </w:rPr>
              <w:t>FC Partner</w:t>
            </w:r>
          </w:p>
        </w:tc>
      </w:tr>
      <w:tr w:rsidR="00732FEF" w:rsidRPr="001322F4" w14:paraId="6374CC4D" w14:textId="77777777" w:rsidTr="00CE4178">
        <w:trPr>
          <w:trHeight w:val="256"/>
        </w:trPr>
        <w:tc>
          <w:tcPr>
            <w:tcW w:w="4726" w:type="dxa"/>
          </w:tcPr>
          <w:p w14:paraId="4F7FB350" w14:textId="77777777" w:rsidR="00732FEF" w:rsidRPr="00CE4178" w:rsidRDefault="00732FEF" w:rsidP="00F17B2A">
            <w:pPr>
              <w:jc w:val="center"/>
              <w:rPr>
                <w:rFonts w:cstheme="minorHAnsi"/>
                <w:sz w:val="18"/>
                <w:szCs w:val="28"/>
              </w:rPr>
            </w:pPr>
            <w:r w:rsidRPr="00CE4178">
              <w:rPr>
                <w:rFonts w:cstheme="minorHAnsi"/>
                <w:sz w:val="18"/>
                <w:szCs w:val="28"/>
              </w:rPr>
              <w:t>Frédéric CASADEI</w:t>
            </w:r>
          </w:p>
        </w:tc>
        <w:tc>
          <w:tcPr>
            <w:tcW w:w="4726" w:type="dxa"/>
          </w:tcPr>
          <w:p w14:paraId="710EE504" w14:textId="77777777" w:rsidR="00732FEF" w:rsidRPr="00CE4178" w:rsidRDefault="00732FEF" w:rsidP="00F17B2A">
            <w:pPr>
              <w:jc w:val="center"/>
              <w:rPr>
                <w:rFonts w:cstheme="minorHAnsi"/>
                <w:sz w:val="18"/>
                <w:szCs w:val="28"/>
              </w:rPr>
            </w:pPr>
            <w:r w:rsidRPr="00CE4178">
              <w:rPr>
                <w:rFonts w:cstheme="minorHAnsi"/>
                <w:sz w:val="18"/>
                <w:szCs w:val="28"/>
              </w:rPr>
              <w:t>FC Partner</w:t>
            </w:r>
          </w:p>
        </w:tc>
      </w:tr>
      <w:tr w:rsidR="00732FEF" w:rsidRPr="001322F4" w14:paraId="2515BF3C" w14:textId="77777777" w:rsidTr="00CE4178">
        <w:trPr>
          <w:trHeight w:val="256"/>
        </w:trPr>
        <w:tc>
          <w:tcPr>
            <w:tcW w:w="4726" w:type="dxa"/>
          </w:tcPr>
          <w:p w14:paraId="12CE9DF0" w14:textId="77777777" w:rsidR="00732FEF" w:rsidRPr="00CE4178" w:rsidRDefault="00732FEF" w:rsidP="00F17B2A">
            <w:pPr>
              <w:jc w:val="center"/>
              <w:rPr>
                <w:rFonts w:cstheme="minorHAnsi"/>
                <w:sz w:val="18"/>
                <w:szCs w:val="28"/>
              </w:rPr>
            </w:pPr>
            <w:r w:rsidRPr="00CE4178">
              <w:rPr>
                <w:rFonts w:cstheme="minorHAnsi"/>
                <w:sz w:val="18"/>
                <w:szCs w:val="28"/>
              </w:rPr>
              <w:t>Chantal JOURNO</w:t>
            </w:r>
          </w:p>
        </w:tc>
        <w:tc>
          <w:tcPr>
            <w:tcW w:w="4726" w:type="dxa"/>
          </w:tcPr>
          <w:p w14:paraId="1B8DAC3F" w14:textId="77777777" w:rsidR="00732FEF" w:rsidRPr="00CE4178" w:rsidRDefault="00732FEF" w:rsidP="00F17B2A">
            <w:pPr>
              <w:jc w:val="center"/>
              <w:rPr>
                <w:rFonts w:cstheme="minorHAnsi"/>
                <w:sz w:val="18"/>
                <w:szCs w:val="28"/>
              </w:rPr>
            </w:pPr>
            <w:r w:rsidRPr="00CE4178">
              <w:rPr>
                <w:rFonts w:cstheme="minorHAnsi"/>
                <w:sz w:val="18"/>
                <w:szCs w:val="28"/>
              </w:rPr>
              <w:t>BNP Paribas Capital Partner</w:t>
            </w:r>
          </w:p>
        </w:tc>
      </w:tr>
      <w:tr w:rsidR="00732FEF" w:rsidRPr="001322F4" w14:paraId="4C5A18F5" w14:textId="77777777" w:rsidTr="00CE4178">
        <w:trPr>
          <w:trHeight w:val="256"/>
        </w:trPr>
        <w:tc>
          <w:tcPr>
            <w:tcW w:w="4726" w:type="dxa"/>
          </w:tcPr>
          <w:p w14:paraId="4E562C2D" w14:textId="77777777" w:rsidR="00732FEF" w:rsidRPr="00CE4178" w:rsidRDefault="00732FEF" w:rsidP="00F17B2A">
            <w:pPr>
              <w:jc w:val="center"/>
              <w:rPr>
                <w:rFonts w:cstheme="minorHAnsi"/>
                <w:sz w:val="18"/>
                <w:szCs w:val="28"/>
              </w:rPr>
            </w:pPr>
            <w:r w:rsidRPr="00CE4178">
              <w:rPr>
                <w:rFonts w:cstheme="minorHAnsi"/>
                <w:sz w:val="18"/>
                <w:szCs w:val="28"/>
              </w:rPr>
              <w:t>Kifaya BELKAALOUL</w:t>
            </w:r>
          </w:p>
        </w:tc>
        <w:tc>
          <w:tcPr>
            <w:tcW w:w="4726" w:type="dxa"/>
          </w:tcPr>
          <w:p w14:paraId="5AE989D8" w14:textId="77777777" w:rsidR="00732FEF" w:rsidRPr="00CE4178" w:rsidRDefault="00732FEF" w:rsidP="00F17B2A">
            <w:pPr>
              <w:jc w:val="center"/>
              <w:rPr>
                <w:rFonts w:cstheme="minorHAnsi"/>
                <w:sz w:val="18"/>
                <w:szCs w:val="28"/>
              </w:rPr>
            </w:pPr>
            <w:r w:rsidRPr="00CE4178">
              <w:rPr>
                <w:rFonts w:cstheme="minorHAnsi"/>
                <w:sz w:val="18"/>
                <w:szCs w:val="28"/>
              </w:rPr>
              <w:t>Neoxam</w:t>
            </w:r>
          </w:p>
        </w:tc>
      </w:tr>
      <w:tr w:rsidR="00732FEF" w:rsidRPr="001322F4" w14:paraId="5EF180F6" w14:textId="77777777" w:rsidTr="00CE4178">
        <w:trPr>
          <w:trHeight w:val="256"/>
        </w:trPr>
        <w:tc>
          <w:tcPr>
            <w:tcW w:w="4726" w:type="dxa"/>
          </w:tcPr>
          <w:p w14:paraId="377C41A7" w14:textId="77777777" w:rsidR="00732FEF" w:rsidRPr="00CE4178" w:rsidRDefault="00732FEF" w:rsidP="00F17B2A">
            <w:pPr>
              <w:jc w:val="center"/>
              <w:rPr>
                <w:rFonts w:cstheme="minorHAnsi"/>
                <w:sz w:val="18"/>
                <w:szCs w:val="28"/>
              </w:rPr>
            </w:pPr>
            <w:r w:rsidRPr="00CE4178">
              <w:rPr>
                <w:rFonts w:cstheme="minorHAnsi"/>
                <w:sz w:val="18"/>
                <w:szCs w:val="28"/>
              </w:rPr>
              <w:t>Karim MAMACHE</w:t>
            </w:r>
          </w:p>
        </w:tc>
        <w:tc>
          <w:tcPr>
            <w:tcW w:w="4726" w:type="dxa"/>
          </w:tcPr>
          <w:p w14:paraId="34EF648F" w14:textId="77777777" w:rsidR="00732FEF" w:rsidRPr="00CE4178" w:rsidRDefault="00732FEF" w:rsidP="00F17B2A">
            <w:pPr>
              <w:jc w:val="center"/>
              <w:rPr>
                <w:rFonts w:cstheme="minorHAnsi"/>
                <w:sz w:val="18"/>
                <w:szCs w:val="28"/>
              </w:rPr>
            </w:pPr>
            <w:r w:rsidRPr="00CE4178">
              <w:rPr>
                <w:rFonts w:cstheme="minorHAnsi"/>
                <w:sz w:val="18"/>
                <w:szCs w:val="28"/>
              </w:rPr>
              <w:t>SGSS</w:t>
            </w:r>
          </w:p>
        </w:tc>
      </w:tr>
      <w:tr w:rsidR="00732FEF" w:rsidRPr="001322F4" w14:paraId="3560EE08" w14:textId="77777777" w:rsidTr="00CE4178">
        <w:trPr>
          <w:trHeight w:val="240"/>
        </w:trPr>
        <w:tc>
          <w:tcPr>
            <w:tcW w:w="4726" w:type="dxa"/>
          </w:tcPr>
          <w:p w14:paraId="71ED545A" w14:textId="77777777" w:rsidR="00732FEF" w:rsidRPr="00CE4178" w:rsidRDefault="00732FEF" w:rsidP="00F17B2A">
            <w:pPr>
              <w:jc w:val="center"/>
              <w:rPr>
                <w:rFonts w:cstheme="minorHAnsi"/>
                <w:sz w:val="18"/>
                <w:szCs w:val="28"/>
              </w:rPr>
            </w:pPr>
            <w:r w:rsidRPr="00CE4178">
              <w:rPr>
                <w:rFonts w:cstheme="minorHAnsi"/>
                <w:sz w:val="18"/>
                <w:szCs w:val="28"/>
              </w:rPr>
              <w:t>Aziz ADDA</w:t>
            </w:r>
          </w:p>
        </w:tc>
        <w:tc>
          <w:tcPr>
            <w:tcW w:w="4726" w:type="dxa"/>
          </w:tcPr>
          <w:p w14:paraId="38C9EB9E" w14:textId="77777777" w:rsidR="00732FEF" w:rsidRPr="00CE4178" w:rsidRDefault="00732FEF" w:rsidP="00F17B2A">
            <w:pPr>
              <w:jc w:val="center"/>
              <w:rPr>
                <w:rFonts w:cstheme="minorHAnsi"/>
                <w:sz w:val="18"/>
                <w:szCs w:val="28"/>
              </w:rPr>
            </w:pPr>
            <w:r w:rsidRPr="00CE4178">
              <w:rPr>
                <w:rFonts w:cstheme="minorHAnsi"/>
                <w:sz w:val="18"/>
                <w:szCs w:val="28"/>
              </w:rPr>
              <w:t>SGSS</w:t>
            </w:r>
          </w:p>
        </w:tc>
      </w:tr>
      <w:tr w:rsidR="00732FEF" w:rsidRPr="001322F4" w14:paraId="0C38F7E2" w14:textId="77777777" w:rsidTr="00CE4178">
        <w:trPr>
          <w:trHeight w:val="256"/>
        </w:trPr>
        <w:tc>
          <w:tcPr>
            <w:tcW w:w="4726" w:type="dxa"/>
          </w:tcPr>
          <w:p w14:paraId="62987661" w14:textId="77777777" w:rsidR="00732FEF" w:rsidRPr="00CE4178" w:rsidRDefault="00732FEF" w:rsidP="00F17B2A">
            <w:pPr>
              <w:jc w:val="center"/>
              <w:rPr>
                <w:rFonts w:cstheme="minorHAnsi"/>
                <w:sz w:val="18"/>
                <w:szCs w:val="28"/>
              </w:rPr>
            </w:pPr>
            <w:r w:rsidRPr="00CE4178">
              <w:rPr>
                <w:rFonts w:cstheme="minorHAnsi"/>
                <w:sz w:val="18"/>
                <w:szCs w:val="28"/>
              </w:rPr>
              <w:t>Yves GAVEAU</w:t>
            </w:r>
          </w:p>
        </w:tc>
        <w:tc>
          <w:tcPr>
            <w:tcW w:w="4726" w:type="dxa"/>
          </w:tcPr>
          <w:p w14:paraId="0E026067" w14:textId="77777777" w:rsidR="00732FEF" w:rsidRPr="00CE4178" w:rsidRDefault="00732FEF" w:rsidP="00F17B2A">
            <w:pPr>
              <w:jc w:val="center"/>
              <w:rPr>
                <w:rFonts w:cstheme="minorHAnsi"/>
                <w:sz w:val="18"/>
                <w:szCs w:val="28"/>
              </w:rPr>
            </w:pPr>
            <w:r w:rsidRPr="00CE4178">
              <w:rPr>
                <w:rFonts w:cstheme="minorHAnsi"/>
                <w:sz w:val="18"/>
                <w:szCs w:val="28"/>
              </w:rPr>
              <w:t>CACEIS</w:t>
            </w:r>
          </w:p>
        </w:tc>
      </w:tr>
      <w:tr w:rsidR="00732FEF" w:rsidRPr="001322F4" w14:paraId="577A2444" w14:textId="77777777" w:rsidTr="00CE4178">
        <w:trPr>
          <w:trHeight w:val="256"/>
        </w:trPr>
        <w:tc>
          <w:tcPr>
            <w:tcW w:w="4726" w:type="dxa"/>
          </w:tcPr>
          <w:p w14:paraId="008A4FE1" w14:textId="77777777" w:rsidR="00732FEF" w:rsidRPr="00CE4178" w:rsidRDefault="00732FEF" w:rsidP="00F17B2A">
            <w:pPr>
              <w:jc w:val="center"/>
              <w:rPr>
                <w:rFonts w:cstheme="minorHAnsi"/>
                <w:sz w:val="18"/>
                <w:szCs w:val="28"/>
              </w:rPr>
            </w:pPr>
            <w:r w:rsidRPr="00CE4178">
              <w:rPr>
                <w:rFonts w:cstheme="minorHAnsi"/>
                <w:sz w:val="18"/>
                <w:szCs w:val="28"/>
              </w:rPr>
              <w:t>Isabelle BOUSSIQUET</w:t>
            </w:r>
          </w:p>
        </w:tc>
        <w:tc>
          <w:tcPr>
            <w:tcW w:w="4726" w:type="dxa"/>
          </w:tcPr>
          <w:p w14:paraId="552715BF" w14:textId="77777777" w:rsidR="00732FEF" w:rsidRPr="00CE4178" w:rsidRDefault="00732FEF" w:rsidP="00F17B2A">
            <w:pPr>
              <w:jc w:val="center"/>
              <w:rPr>
                <w:rFonts w:cstheme="minorHAnsi"/>
                <w:sz w:val="18"/>
                <w:szCs w:val="28"/>
              </w:rPr>
            </w:pPr>
            <w:r w:rsidRPr="00CE4178">
              <w:rPr>
                <w:rFonts w:cstheme="minorHAnsi"/>
                <w:sz w:val="18"/>
                <w:szCs w:val="28"/>
              </w:rPr>
              <w:t>CACEIS</w:t>
            </w:r>
          </w:p>
        </w:tc>
      </w:tr>
    </w:tbl>
    <w:p w14:paraId="743B53A6" w14:textId="77777777" w:rsidR="000E5B32" w:rsidRPr="00CE4178" w:rsidRDefault="000E5B32" w:rsidP="00732FEF">
      <w:pPr>
        <w:rPr>
          <w:b/>
          <w:color w:val="44546A" w:themeColor="text2"/>
          <w:sz w:val="2"/>
        </w:rPr>
      </w:pPr>
    </w:p>
    <w:p w14:paraId="245EE9D6" w14:textId="24B37B6F" w:rsidR="00732FEF" w:rsidRDefault="00732FEF" w:rsidP="00CE4178">
      <w:pPr>
        <w:spacing w:after="120"/>
        <w:rPr>
          <w:b/>
          <w:color w:val="44546A" w:themeColor="text2"/>
        </w:rPr>
      </w:pPr>
      <w:r>
        <w:rPr>
          <w:b/>
          <w:color w:val="44546A" w:themeColor="text2"/>
        </w:rPr>
        <w:t>Groupe Immobilier</w:t>
      </w:r>
    </w:p>
    <w:tbl>
      <w:tblPr>
        <w:tblStyle w:val="Grilledutableau"/>
        <w:tblW w:w="0" w:type="auto"/>
        <w:tblLook w:val="04A0" w:firstRow="1" w:lastRow="0" w:firstColumn="1" w:lastColumn="0" w:noHBand="0" w:noVBand="1"/>
      </w:tblPr>
      <w:tblGrid>
        <w:gridCol w:w="4744"/>
        <w:gridCol w:w="4744"/>
      </w:tblGrid>
      <w:tr w:rsidR="00732FEF" w14:paraId="688A861E" w14:textId="77777777" w:rsidTr="00F17B2A">
        <w:tc>
          <w:tcPr>
            <w:tcW w:w="4744" w:type="dxa"/>
          </w:tcPr>
          <w:p w14:paraId="683D7F45" w14:textId="77777777" w:rsidR="00732FEF" w:rsidRPr="00CE4178" w:rsidRDefault="00732FEF" w:rsidP="00F17B2A">
            <w:pPr>
              <w:rPr>
                <w:rFonts w:cstheme="minorHAnsi"/>
                <w:sz w:val="18"/>
                <w:szCs w:val="28"/>
              </w:rPr>
            </w:pPr>
            <w:r w:rsidRPr="00CE4178">
              <w:rPr>
                <w:rFonts w:cstheme="minorHAnsi"/>
                <w:sz w:val="18"/>
                <w:szCs w:val="28"/>
              </w:rPr>
              <w:t>A. GUERIN</w:t>
            </w:r>
          </w:p>
        </w:tc>
        <w:tc>
          <w:tcPr>
            <w:tcW w:w="4744" w:type="dxa"/>
          </w:tcPr>
          <w:p w14:paraId="1A4873AD" w14:textId="77777777" w:rsidR="00732FEF" w:rsidRPr="00CE4178" w:rsidRDefault="00732FEF" w:rsidP="00F17B2A">
            <w:pPr>
              <w:rPr>
                <w:rFonts w:cstheme="minorHAnsi"/>
                <w:sz w:val="18"/>
                <w:szCs w:val="28"/>
              </w:rPr>
            </w:pPr>
            <w:r w:rsidRPr="00CE4178">
              <w:rPr>
                <w:rFonts w:cstheme="minorHAnsi"/>
                <w:sz w:val="18"/>
                <w:szCs w:val="28"/>
              </w:rPr>
              <w:t>AFG</w:t>
            </w:r>
          </w:p>
        </w:tc>
      </w:tr>
      <w:tr w:rsidR="00732FEF" w14:paraId="5A87DB8F" w14:textId="77777777" w:rsidTr="00F17B2A">
        <w:tc>
          <w:tcPr>
            <w:tcW w:w="4744" w:type="dxa"/>
          </w:tcPr>
          <w:p w14:paraId="254817AC" w14:textId="77777777" w:rsidR="00732FEF" w:rsidRPr="00CE4178" w:rsidRDefault="00732FEF" w:rsidP="00F17B2A">
            <w:pPr>
              <w:rPr>
                <w:rFonts w:cstheme="minorHAnsi"/>
                <w:sz w:val="18"/>
                <w:szCs w:val="28"/>
              </w:rPr>
            </w:pPr>
            <w:r w:rsidRPr="00CE4178">
              <w:rPr>
                <w:rFonts w:cstheme="minorHAnsi"/>
                <w:sz w:val="18"/>
                <w:szCs w:val="28"/>
              </w:rPr>
              <w:t>J. MAUFFREY</w:t>
            </w:r>
          </w:p>
        </w:tc>
        <w:tc>
          <w:tcPr>
            <w:tcW w:w="4744" w:type="dxa"/>
          </w:tcPr>
          <w:p w14:paraId="59C0F51A" w14:textId="77777777" w:rsidR="00732FEF" w:rsidRPr="00CE4178" w:rsidRDefault="00732FEF" w:rsidP="00F17B2A">
            <w:pPr>
              <w:rPr>
                <w:rFonts w:cstheme="minorHAnsi"/>
                <w:sz w:val="18"/>
                <w:szCs w:val="28"/>
              </w:rPr>
            </w:pPr>
            <w:r w:rsidRPr="00CE4178">
              <w:rPr>
                <w:rFonts w:cstheme="minorHAnsi"/>
                <w:sz w:val="18"/>
                <w:szCs w:val="28"/>
              </w:rPr>
              <w:t>ASPIM</w:t>
            </w:r>
          </w:p>
        </w:tc>
      </w:tr>
      <w:tr w:rsidR="00732FEF" w14:paraId="41BA0ED5" w14:textId="77777777" w:rsidTr="00F17B2A">
        <w:tc>
          <w:tcPr>
            <w:tcW w:w="4744" w:type="dxa"/>
          </w:tcPr>
          <w:p w14:paraId="28FED31E" w14:textId="77777777" w:rsidR="00732FEF" w:rsidRPr="00CE4178" w:rsidRDefault="00732FEF" w:rsidP="00F17B2A">
            <w:pPr>
              <w:rPr>
                <w:rFonts w:cstheme="minorHAnsi"/>
                <w:sz w:val="18"/>
                <w:szCs w:val="28"/>
              </w:rPr>
            </w:pPr>
            <w:r w:rsidRPr="00CE4178">
              <w:rPr>
                <w:rFonts w:cstheme="minorHAnsi"/>
                <w:sz w:val="18"/>
                <w:szCs w:val="28"/>
              </w:rPr>
              <w:t>A. MEIER</w:t>
            </w:r>
          </w:p>
        </w:tc>
        <w:tc>
          <w:tcPr>
            <w:tcW w:w="4744" w:type="dxa"/>
          </w:tcPr>
          <w:p w14:paraId="52F5FB64" w14:textId="77777777" w:rsidR="00732FEF" w:rsidRPr="00CE4178" w:rsidRDefault="00732FEF" w:rsidP="00F17B2A">
            <w:pPr>
              <w:rPr>
                <w:rFonts w:cstheme="minorHAnsi"/>
                <w:sz w:val="18"/>
                <w:szCs w:val="28"/>
              </w:rPr>
            </w:pPr>
            <w:r w:rsidRPr="00CE4178">
              <w:rPr>
                <w:rFonts w:cstheme="minorHAnsi"/>
                <w:sz w:val="18"/>
                <w:szCs w:val="28"/>
              </w:rPr>
              <w:t>Axa Real Assets</w:t>
            </w:r>
          </w:p>
        </w:tc>
      </w:tr>
      <w:tr w:rsidR="00732FEF" w14:paraId="62BE5798" w14:textId="77777777" w:rsidTr="00F17B2A">
        <w:tc>
          <w:tcPr>
            <w:tcW w:w="4744" w:type="dxa"/>
          </w:tcPr>
          <w:p w14:paraId="19D7E39D" w14:textId="77777777" w:rsidR="00732FEF" w:rsidRPr="00CE4178" w:rsidRDefault="00732FEF" w:rsidP="00F17B2A">
            <w:pPr>
              <w:rPr>
                <w:rFonts w:cstheme="minorHAnsi"/>
                <w:sz w:val="18"/>
                <w:szCs w:val="28"/>
              </w:rPr>
            </w:pPr>
            <w:r w:rsidRPr="00CE4178">
              <w:rPr>
                <w:rFonts w:cstheme="minorHAnsi"/>
                <w:sz w:val="18"/>
                <w:szCs w:val="28"/>
              </w:rPr>
              <w:t>M. KABACHI</w:t>
            </w:r>
          </w:p>
        </w:tc>
        <w:tc>
          <w:tcPr>
            <w:tcW w:w="4744" w:type="dxa"/>
          </w:tcPr>
          <w:p w14:paraId="0A43B689" w14:textId="77777777" w:rsidR="00732FEF" w:rsidRPr="00CE4178" w:rsidRDefault="00732FEF" w:rsidP="00F17B2A">
            <w:pPr>
              <w:rPr>
                <w:rFonts w:cstheme="minorHAnsi"/>
                <w:sz w:val="18"/>
                <w:szCs w:val="28"/>
              </w:rPr>
            </w:pPr>
            <w:r w:rsidRPr="00CE4178">
              <w:rPr>
                <w:rFonts w:cstheme="minorHAnsi"/>
                <w:sz w:val="18"/>
                <w:szCs w:val="28"/>
              </w:rPr>
              <w:t>HSBC Reim</w:t>
            </w:r>
          </w:p>
        </w:tc>
      </w:tr>
      <w:tr w:rsidR="00732FEF" w14:paraId="33FC4D5F" w14:textId="77777777" w:rsidTr="00F17B2A">
        <w:tc>
          <w:tcPr>
            <w:tcW w:w="4744" w:type="dxa"/>
          </w:tcPr>
          <w:p w14:paraId="3B335A68" w14:textId="77777777" w:rsidR="00732FEF" w:rsidRPr="00CE4178" w:rsidRDefault="00732FEF" w:rsidP="00F17B2A">
            <w:pPr>
              <w:rPr>
                <w:b/>
                <w:color w:val="44546A" w:themeColor="text2"/>
                <w:sz w:val="18"/>
              </w:rPr>
            </w:pPr>
            <w:r w:rsidRPr="00CE4178">
              <w:rPr>
                <w:rFonts w:cstheme="minorHAnsi"/>
                <w:sz w:val="18"/>
                <w:szCs w:val="28"/>
              </w:rPr>
              <w:t>F. ZANOLINI</w:t>
            </w:r>
          </w:p>
        </w:tc>
        <w:tc>
          <w:tcPr>
            <w:tcW w:w="4744" w:type="dxa"/>
          </w:tcPr>
          <w:p w14:paraId="3C2008BF" w14:textId="77777777" w:rsidR="00732FEF" w:rsidRPr="00CE4178" w:rsidRDefault="00732FEF" w:rsidP="00F17B2A">
            <w:pPr>
              <w:rPr>
                <w:b/>
                <w:color w:val="44546A" w:themeColor="text2"/>
                <w:sz w:val="18"/>
              </w:rPr>
            </w:pPr>
            <w:r w:rsidRPr="00CE4178">
              <w:rPr>
                <w:rFonts w:cstheme="minorHAnsi"/>
                <w:sz w:val="18"/>
                <w:szCs w:val="28"/>
              </w:rPr>
              <w:t>Bnp Paribas REIM</w:t>
            </w:r>
          </w:p>
        </w:tc>
      </w:tr>
      <w:tr w:rsidR="00732FEF" w14:paraId="76DF6BFF" w14:textId="77777777" w:rsidTr="00F17B2A">
        <w:tc>
          <w:tcPr>
            <w:tcW w:w="4744" w:type="dxa"/>
          </w:tcPr>
          <w:p w14:paraId="71310203" w14:textId="77777777" w:rsidR="00732FEF" w:rsidRPr="00CE4178" w:rsidRDefault="00732FEF" w:rsidP="00F17B2A">
            <w:pPr>
              <w:rPr>
                <w:b/>
                <w:color w:val="44546A" w:themeColor="text2"/>
                <w:sz w:val="18"/>
              </w:rPr>
            </w:pPr>
            <w:r w:rsidRPr="00CE4178">
              <w:rPr>
                <w:rFonts w:cstheme="minorHAnsi"/>
                <w:sz w:val="18"/>
                <w:szCs w:val="28"/>
              </w:rPr>
              <w:t>A. BROUARD</w:t>
            </w:r>
          </w:p>
        </w:tc>
        <w:tc>
          <w:tcPr>
            <w:tcW w:w="4744" w:type="dxa"/>
          </w:tcPr>
          <w:p w14:paraId="00271864" w14:textId="77777777" w:rsidR="00732FEF" w:rsidRPr="00CE4178" w:rsidRDefault="00732FEF" w:rsidP="00F17B2A">
            <w:pPr>
              <w:rPr>
                <w:b/>
                <w:color w:val="44546A" w:themeColor="text2"/>
                <w:sz w:val="18"/>
              </w:rPr>
            </w:pPr>
            <w:r w:rsidRPr="00CE4178">
              <w:rPr>
                <w:rFonts w:cstheme="minorHAnsi"/>
                <w:sz w:val="18"/>
                <w:szCs w:val="28"/>
              </w:rPr>
              <w:t>BPSS</w:t>
            </w:r>
          </w:p>
        </w:tc>
      </w:tr>
      <w:tr w:rsidR="00732FEF" w14:paraId="2346A53A" w14:textId="77777777" w:rsidTr="00F17B2A">
        <w:tc>
          <w:tcPr>
            <w:tcW w:w="4744" w:type="dxa"/>
          </w:tcPr>
          <w:p w14:paraId="743F1444" w14:textId="77777777" w:rsidR="00732FEF" w:rsidRPr="00CE4178" w:rsidRDefault="00732FEF" w:rsidP="00F17B2A">
            <w:pPr>
              <w:rPr>
                <w:b/>
                <w:color w:val="44546A" w:themeColor="text2"/>
                <w:sz w:val="18"/>
              </w:rPr>
            </w:pPr>
            <w:r w:rsidRPr="00CE4178">
              <w:rPr>
                <w:rFonts w:cstheme="minorHAnsi"/>
                <w:sz w:val="18"/>
                <w:szCs w:val="28"/>
              </w:rPr>
              <w:t>C. DAUPHIN</w:t>
            </w:r>
          </w:p>
        </w:tc>
        <w:tc>
          <w:tcPr>
            <w:tcW w:w="4744" w:type="dxa"/>
          </w:tcPr>
          <w:p w14:paraId="32F95BE1" w14:textId="77777777" w:rsidR="00732FEF" w:rsidRPr="00CE4178" w:rsidRDefault="00732FEF" w:rsidP="00F17B2A">
            <w:pPr>
              <w:rPr>
                <w:b/>
                <w:color w:val="44546A" w:themeColor="text2"/>
                <w:sz w:val="18"/>
              </w:rPr>
            </w:pPr>
            <w:r w:rsidRPr="00CE4178">
              <w:rPr>
                <w:rFonts w:cstheme="minorHAnsi"/>
                <w:sz w:val="18"/>
                <w:szCs w:val="28"/>
              </w:rPr>
              <w:t>BPSS</w:t>
            </w:r>
          </w:p>
        </w:tc>
      </w:tr>
      <w:tr w:rsidR="00732FEF" w14:paraId="4A796B10" w14:textId="77777777" w:rsidTr="00F17B2A">
        <w:tc>
          <w:tcPr>
            <w:tcW w:w="4744" w:type="dxa"/>
          </w:tcPr>
          <w:p w14:paraId="683D576B" w14:textId="77777777" w:rsidR="00732FEF" w:rsidRPr="00CE4178" w:rsidRDefault="00732FEF" w:rsidP="00F17B2A">
            <w:pPr>
              <w:rPr>
                <w:b/>
                <w:color w:val="44546A" w:themeColor="text2"/>
                <w:sz w:val="18"/>
              </w:rPr>
            </w:pPr>
            <w:r w:rsidRPr="00CE4178">
              <w:rPr>
                <w:rFonts w:cstheme="minorHAnsi"/>
                <w:sz w:val="18"/>
                <w:szCs w:val="28"/>
              </w:rPr>
              <w:t>Y. GAVEAU</w:t>
            </w:r>
          </w:p>
        </w:tc>
        <w:tc>
          <w:tcPr>
            <w:tcW w:w="4744" w:type="dxa"/>
          </w:tcPr>
          <w:p w14:paraId="144F8A4D" w14:textId="77777777" w:rsidR="00732FEF" w:rsidRPr="00CE4178" w:rsidRDefault="00732FEF" w:rsidP="00F17B2A">
            <w:pPr>
              <w:rPr>
                <w:b/>
                <w:color w:val="44546A" w:themeColor="text2"/>
                <w:sz w:val="18"/>
              </w:rPr>
            </w:pPr>
            <w:r w:rsidRPr="00CE4178">
              <w:rPr>
                <w:rFonts w:cstheme="minorHAnsi"/>
                <w:sz w:val="18"/>
                <w:szCs w:val="28"/>
              </w:rPr>
              <w:t>CACEIS</w:t>
            </w:r>
          </w:p>
        </w:tc>
      </w:tr>
      <w:tr w:rsidR="00732FEF" w14:paraId="2C1B8047" w14:textId="77777777" w:rsidTr="00F17B2A">
        <w:tc>
          <w:tcPr>
            <w:tcW w:w="4744" w:type="dxa"/>
          </w:tcPr>
          <w:p w14:paraId="2F0D1C68" w14:textId="77777777" w:rsidR="00732FEF" w:rsidRPr="00CE4178" w:rsidRDefault="00732FEF" w:rsidP="00F17B2A">
            <w:pPr>
              <w:rPr>
                <w:b/>
                <w:color w:val="44546A" w:themeColor="text2"/>
                <w:sz w:val="18"/>
              </w:rPr>
            </w:pPr>
            <w:r w:rsidRPr="00CE4178">
              <w:rPr>
                <w:rFonts w:cstheme="minorHAnsi"/>
                <w:sz w:val="18"/>
                <w:szCs w:val="28"/>
              </w:rPr>
              <w:t>N. TALIBI</w:t>
            </w:r>
          </w:p>
        </w:tc>
        <w:tc>
          <w:tcPr>
            <w:tcW w:w="4744" w:type="dxa"/>
          </w:tcPr>
          <w:p w14:paraId="25078239" w14:textId="77777777" w:rsidR="00732FEF" w:rsidRPr="00CE4178" w:rsidRDefault="00732FEF" w:rsidP="00F17B2A">
            <w:pPr>
              <w:rPr>
                <w:b/>
                <w:color w:val="44546A" w:themeColor="text2"/>
                <w:sz w:val="18"/>
              </w:rPr>
            </w:pPr>
            <w:r w:rsidRPr="00CE4178">
              <w:rPr>
                <w:rFonts w:cstheme="minorHAnsi"/>
                <w:sz w:val="18"/>
                <w:szCs w:val="28"/>
              </w:rPr>
              <w:t>Amundi Immo</w:t>
            </w:r>
          </w:p>
        </w:tc>
      </w:tr>
      <w:tr w:rsidR="00732FEF" w14:paraId="4F8A226B" w14:textId="77777777" w:rsidTr="00F17B2A">
        <w:tc>
          <w:tcPr>
            <w:tcW w:w="4744" w:type="dxa"/>
          </w:tcPr>
          <w:p w14:paraId="3614E6C8" w14:textId="77777777" w:rsidR="00732FEF" w:rsidRPr="00CE4178" w:rsidRDefault="00732FEF" w:rsidP="00F17B2A">
            <w:pPr>
              <w:rPr>
                <w:rFonts w:cstheme="minorHAnsi"/>
                <w:sz w:val="18"/>
                <w:szCs w:val="28"/>
              </w:rPr>
            </w:pPr>
            <w:r w:rsidRPr="00CE4178">
              <w:rPr>
                <w:rFonts w:cstheme="minorHAnsi"/>
                <w:sz w:val="18"/>
                <w:szCs w:val="28"/>
              </w:rPr>
              <w:t>K. MAMACHE</w:t>
            </w:r>
          </w:p>
        </w:tc>
        <w:tc>
          <w:tcPr>
            <w:tcW w:w="4744" w:type="dxa"/>
          </w:tcPr>
          <w:p w14:paraId="5AE648F7" w14:textId="77777777" w:rsidR="00732FEF" w:rsidRPr="00CE4178" w:rsidRDefault="00732FEF" w:rsidP="00F17B2A">
            <w:pPr>
              <w:rPr>
                <w:rFonts w:cstheme="minorHAnsi"/>
                <w:sz w:val="18"/>
                <w:szCs w:val="28"/>
              </w:rPr>
            </w:pPr>
            <w:r w:rsidRPr="00CE4178">
              <w:rPr>
                <w:rFonts w:cstheme="minorHAnsi"/>
                <w:sz w:val="18"/>
                <w:szCs w:val="28"/>
              </w:rPr>
              <w:t>SGSS</w:t>
            </w:r>
          </w:p>
        </w:tc>
      </w:tr>
    </w:tbl>
    <w:p w14:paraId="2C8B24F5" w14:textId="77777777" w:rsidR="004E7FED" w:rsidRPr="00CE4178" w:rsidRDefault="004E7FED" w:rsidP="00732FEF">
      <w:pPr>
        <w:rPr>
          <w:b/>
          <w:color w:val="44546A" w:themeColor="text2"/>
          <w:sz w:val="2"/>
        </w:rPr>
      </w:pPr>
    </w:p>
    <w:p w14:paraId="23F69A3F" w14:textId="3C7D4349" w:rsidR="00732FEF" w:rsidRDefault="00732FEF" w:rsidP="00CE4178">
      <w:pPr>
        <w:spacing w:after="120"/>
        <w:rPr>
          <w:b/>
          <w:color w:val="44546A" w:themeColor="text2"/>
        </w:rPr>
      </w:pPr>
      <w:r>
        <w:rPr>
          <w:b/>
          <w:color w:val="44546A" w:themeColor="text2"/>
        </w:rPr>
        <w:t>Groupe Fonds à risque</w:t>
      </w:r>
    </w:p>
    <w:tbl>
      <w:tblPr>
        <w:tblStyle w:val="Grilledutableau"/>
        <w:tblW w:w="0" w:type="auto"/>
        <w:tblLook w:val="04A0" w:firstRow="1" w:lastRow="0" w:firstColumn="1" w:lastColumn="0" w:noHBand="0" w:noVBand="1"/>
      </w:tblPr>
      <w:tblGrid>
        <w:gridCol w:w="4744"/>
        <w:gridCol w:w="4744"/>
      </w:tblGrid>
      <w:tr w:rsidR="00732FEF" w14:paraId="3630803B" w14:textId="77777777" w:rsidTr="00F17B2A">
        <w:tc>
          <w:tcPr>
            <w:tcW w:w="4744" w:type="dxa"/>
          </w:tcPr>
          <w:p w14:paraId="72F0645A" w14:textId="77777777" w:rsidR="00732FEF" w:rsidRPr="00CE4178" w:rsidRDefault="00732FEF" w:rsidP="00F17B2A">
            <w:pPr>
              <w:rPr>
                <w:rFonts w:cstheme="minorHAnsi"/>
                <w:sz w:val="18"/>
                <w:szCs w:val="28"/>
              </w:rPr>
            </w:pPr>
            <w:r w:rsidRPr="00CE4178">
              <w:rPr>
                <w:rFonts w:cstheme="minorHAnsi"/>
                <w:sz w:val="18"/>
                <w:szCs w:val="28"/>
              </w:rPr>
              <w:t>T. VALLI</w:t>
            </w:r>
          </w:p>
        </w:tc>
        <w:tc>
          <w:tcPr>
            <w:tcW w:w="4744" w:type="dxa"/>
          </w:tcPr>
          <w:p w14:paraId="0B46CCEE" w14:textId="77777777" w:rsidR="00732FEF" w:rsidRPr="00CE4178" w:rsidRDefault="00732FEF" w:rsidP="00F17B2A">
            <w:pPr>
              <w:rPr>
                <w:rFonts w:cstheme="minorHAnsi"/>
                <w:sz w:val="18"/>
                <w:szCs w:val="28"/>
              </w:rPr>
            </w:pPr>
            <w:r w:rsidRPr="00CE4178">
              <w:rPr>
                <w:rFonts w:cstheme="minorHAnsi"/>
                <w:sz w:val="18"/>
                <w:szCs w:val="28"/>
              </w:rPr>
              <w:t xml:space="preserve">AFG </w:t>
            </w:r>
          </w:p>
        </w:tc>
      </w:tr>
      <w:tr w:rsidR="00732FEF" w14:paraId="1A3D6E66" w14:textId="77777777" w:rsidTr="00F17B2A">
        <w:tc>
          <w:tcPr>
            <w:tcW w:w="4744" w:type="dxa"/>
          </w:tcPr>
          <w:p w14:paraId="7DB432FE" w14:textId="77777777" w:rsidR="00732FEF" w:rsidRPr="00CE4178" w:rsidRDefault="00732FEF" w:rsidP="00F17B2A">
            <w:pPr>
              <w:rPr>
                <w:b/>
                <w:color w:val="44546A" w:themeColor="text2"/>
                <w:sz w:val="18"/>
              </w:rPr>
            </w:pPr>
            <w:r w:rsidRPr="00CE4178">
              <w:rPr>
                <w:rFonts w:cstheme="minorHAnsi"/>
                <w:sz w:val="18"/>
                <w:szCs w:val="28"/>
              </w:rPr>
              <w:t>Alain DEVARENNE</w:t>
            </w:r>
          </w:p>
        </w:tc>
        <w:tc>
          <w:tcPr>
            <w:tcW w:w="4744" w:type="dxa"/>
          </w:tcPr>
          <w:p w14:paraId="05153922" w14:textId="77777777" w:rsidR="00732FEF" w:rsidRPr="00CE4178" w:rsidRDefault="00732FEF" w:rsidP="00F17B2A">
            <w:pPr>
              <w:rPr>
                <w:b/>
                <w:color w:val="44546A" w:themeColor="text2"/>
                <w:sz w:val="18"/>
              </w:rPr>
            </w:pPr>
            <w:r w:rsidRPr="00CE4178">
              <w:rPr>
                <w:rFonts w:cstheme="minorHAnsi"/>
                <w:sz w:val="18"/>
                <w:szCs w:val="28"/>
              </w:rPr>
              <w:t>FC Partner</w:t>
            </w:r>
          </w:p>
        </w:tc>
      </w:tr>
      <w:tr w:rsidR="00732FEF" w14:paraId="596D4DDC" w14:textId="77777777" w:rsidTr="00F17B2A">
        <w:tc>
          <w:tcPr>
            <w:tcW w:w="4744" w:type="dxa"/>
          </w:tcPr>
          <w:p w14:paraId="41C0F680" w14:textId="77777777" w:rsidR="00732FEF" w:rsidRPr="00CE4178" w:rsidRDefault="00732FEF" w:rsidP="00F17B2A">
            <w:pPr>
              <w:rPr>
                <w:b/>
                <w:color w:val="44546A" w:themeColor="text2"/>
                <w:sz w:val="18"/>
              </w:rPr>
            </w:pPr>
            <w:r w:rsidRPr="00CE4178">
              <w:rPr>
                <w:rFonts w:cstheme="minorHAnsi"/>
                <w:sz w:val="18"/>
                <w:szCs w:val="28"/>
              </w:rPr>
              <w:t>Frédéric CASADEI</w:t>
            </w:r>
          </w:p>
        </w:tc>
        <w:tc>
          <w:tcPr>
            <w:tcW w:w="4744" w:type="dxa"/>
          </w:tcPr>
          <w:p w14:paraId="22BD763A" w14:textId="77777777" w:rsidR="00732FEF" w:rsidRPr="00CE4178" w:rsidRDefault="00732FEF" w:rsidP="00F17B2A">
            <w:pPr>
              <w:rPr>
                <w:b/>
                <w:color w:val="44546A" w:themeColor="text2"/>
                <w:sz w:val="18"/>
              </w:rPr>
            </w:pPr>
            <w:r w:rsidRPr="00CE4178">
              <w:rPr>
                <w:rFonts w:cstheme="minorHAnsi"/>
                <w:sz w:val="18"/>
                <w:szCs w:val="28"/>
              </w:rPr>
              <w:t>FC Partner</w:t>
            </w:r>
          </w:p>
        </w:tc>
      </w:tr>
      <w:tr w:rsidR="00732FEF" w14:paraId="4CB436F4" w14:textId="77777777" w:rsidTr="00F17B2A">
        <w:tc>
          <w:tcPr>
            <w:tcW w:w="4744" w:type="dxa"/>
          </w:tcPr>
          <w:p w14:paraId="5150D301" w14:textId="77777777" w:rsidR="00732FEF" w:rsidRPr="00CE4178" w:rsidRDefault="00732FEF" w:rsidP="00F17B2A">
            <w:pPr>
              <w:rPr>
                <w:rFonts w:cstheme="minorHAnsi"/>
                <w:sz w:val="18"/>
                <w:szCs w:val="28"/>
              </w:rPr>
            </w:pPr>
            <w:r w:rsidRPr="00CE4178">
              <w:rPr>
                <w:rFonts w:cstheme="minorHAnsi"/>
                <w:sz w:val="18"/>
                <w:szCs w:val="28"/>
              </w:rPr>
              <w:t>B. DAUMESNIL</w:t>
            </w:r>
          </w:p>
        </w:tc>
        <w:tc>
          <w:tcPr>
            <w:tcW w:w="4744" w:type="dxa"/>
          </w:tcPr>
          <w:p w14:paraId="24BB9E4A" w14:textId="77777777" w:rsidR="00732FEF" w:rsidRPr="00CE4178" w:rsidRDefault="00732FEF" w:rsidP="00F17B2A">
            <w:pPr>
              <w:rPr>
                <w:rFonts w:cstheme="minorHAnsi"/>
                <w:sz w:val="18"/>
                <w:szCs w:val="28"/>
              </w:rPr>
            </w:pPr>
            <w:r w:rsidRPr="00CE4178">
              <w:rPr>
                <w:rFonts w:cstheme="minorHAnsi"/>
                <w:sz w:val="18"/>
                <w:szCs w:val="28"/>
              </w:rPr>
              <w:t>BPI France</w:t>
            </w:r>
          </w:p>
        </w:tc>
      </w:tr>
      <w:tr w:rsidR="00732FEF" w14:paraId="69899F3D" w14:textId="77777777" w:rsidTr="00F17B2A">
        <w:tc>
          <w:tcPr>
            <w:tcW w:w="4744" w:type="dxa"/>
          </w:tcPr>
          <w:p w14:paraId="38ACFFB7" w14:textId="77777777" w:rsidR="00732FEF" w:rsidRPr="00CE4178" w:rsidRDefault="00732FEF" w:rsidP="00F17B2A">
            <w:pPr>
              <w:rPr>
                <w:rFonts w:cstheme="minorHAnsi"/>
                <w:sz w:val="18"/>
                <w:szCs w:val="28"/>
              </w:rPr>
            </w:pPr>
            <w:r w:rsidRPr="00CE4178">
              <w:rPr>
                <w:rFonts w:cstheme="minorHAnsi"/>
                <w:sz w:val="18"/>
                <w:szCs w:val="28"/>
              </w:rPr>
              <w:t>Y. CARON</w:t>
            </w:r>
          </w:p>
        </w:tc>
        <w:tc>
          <w:tcPr>
            <w:tcW w:w="4744" w:type="dxa"/>
          </w:tcPr>
          <w:p w14:paraId="5FDAD77C" w14:textId="77777777" w:rsidR="00732FEF" w:rsidRPr="00CE4178" w:rsidRDefault="00732FEF" w:rsidP="00F17B2A">
            <w:pPr>
              <w:rPr>
                <w:rFonts w:cstheme="minorHAnsi"/>
                <w:sz w:val="18"/>
                <w:szCs w:val="28"/>
              </w:rPr>
            </w:pPr>
            <w:r w:rsidRPr="00CE4178">
              <w:rPr>
                <w:rFonts w:cstheme="minorHAnsi"/>
                <w:sz w:val="18"/>
                <w:szCs w:val="28"/>
              </w:rPr>
              <w:t>CACEIS</w:t>
            </w:r>
          </w:p>
        </w:tc>
      </w:tr>
      <w:tr w:rsidR="00732FEF" w14:paraId="4FA48ED2" w14:textId="77777777" w:rsidTr="00F17B2A">
        <w:tc>
          <w:tcPr>
            <w:tcW w:w="4744" w:type="dxa"/>
          </w:tcPr>
          <w:p w14:paraId="5FAED647" w14:textId="77777777" w:rsidR="00732FEF" w:rsidRPr="00CE4178" w:rsidRDefault="00732FEF" w:rsidP="00F17B2A">
            <w:pPr>
              <w:rPr>
                <w:rFonts w:cstheme="minorHAnsi"/>
                <w:sz w:val="18"/>
                <w:szCs w:val="28"/>
              </w:rPr>
            </w:pPr>
            <w:r w:rsidRPr="00CE4178">
              <w:rPr>
                <w:rFonts w:cstheme="minorHAnsi"/>
                <w:sz w:val="18"/>
                <w:szCs w:val="28"/>
              </w:rPr>
              <w:t>C. JOURNO</w:t>
            </w:r>
          </w:p>
        </w:tc>
        <w:tc>
          <w:tcPr>
            <w:tcW w:w="4744" w:type="dxa"/>
          </w:tcPr>
          <w:p w14:paraId="515F49F1" w14:textId="77777777" w:rsidR="00732FEF" w:rsidRPr="00CE4178" w:rsidRDefault="00732FEF" w:rsidP="00F17B2A">
            <w:pPr>
              <w:rPr>
                <w:rFonts w:cstheme="minorHAnsi"/>
                <w:sz w:val="18"/>
                <w:szCs w:val="28"/>
              </w:rPr>
            </w:pPr>
            <w:r w:rsidRPr="00CE4178">
              <w:rPr>
                <w:rFonts w:cstheme="minorHAnsi"/>
                <w:sz w:val="18"/>
                <w:szCs w:val="28"/>
              </w:rPr>
              <w:t>BNP Paribas Capital Partner</w:t>
            </w:r>
          </w:p>
        </w:tc>
      </w:tr>
      <w:tr w:rsidR="00732FEF" w14:paraId="4752DB82" w14:textId="77777777" w:rsidTr="00F17B2A">
        <w:tc>
          <w:tcPr>
            <w:tcW w:w="4744" w:type="dxa"/>
          </w:tcPr>
          <w:p w14:paraId="7707FA2F" w14:textId="77777777" w:rsidR="00732FEF" w:rsidRPr="00CE4178" w:rsidRDefault="00732FEF" w:rsidP="00F17B2A">
            <w:pPr>
              <w:rPr>
                <w:rFonts w:cstheme="minorHAnsi"/>
                <w:sz w:val="18"/>
                <w:szCs w:val="28"/>
              </w:rPr>
            </w:pPr>
            <w:r w:rsidRPr="00CE4178">
              <w:rPr>
                <w:rFonts w:cstheme="minorHAnsi"/>
                <w:sz w:val="18"/>
                <w:szCs w:val="28"/>
              </w:rPr>
              <w:t>N. BREUILLAC</w:t>
            </w:r>
          </w:p>
        </w:tc>
        <w:tc>
          <w:tcPr>
            <w:tcW w:w="4744" w:type="dxa"/>
          </w:tcPr>
          <w:p w14:paraId="0815CC7F" w14:textId="77777777" w:rsidR="00732FEF" w:rsidRPr="00CE4178" w:rsidRDefault="00732FEF" w:rsidP="00F17B2A">
            <w:pPr>
              <w:rPr>
                <w:rFonts w:cstheme="minorHAnsi"/>
                <w:sz w:val="18"/>
                <w:szCs w:val="28"/>
              </w:rPr>
            </w:pPr>
            <w:r w:rsidRPr="00CE4178">
              <w:rPr>
                <w:rFonts w:cstheme="minorHAnsi"/>
                <w:sz w:val="18"/>
                <w:szCs w:val="28"/>
              </w:rPr>
              <w:t>Cladag</w:t>
            </w:r>
          </w:p>
        </w:tc>
      </w:tr>
      <w:tr w:rsidR="00732FEF" w14:paraId="31256436" w14:textId="77777777" w:rsidTr="00F17B2A">
        <w:tc>
          <w:tcPr>
            <w:tcW w:w="4744" w:type="dxa"/>
          </w:tcPr>
          <w:p w14:paraId="50BBECFB" w14:textId="77777777" w:rsidR="00732FEF" w:rsidRPr="00CE4178" w:rsidRDefault="00732FEF" w:rsidP="00F17B2A">
            <w:pPr>
              <w:rPr>
                <w:b/>
                <w:color w:val="44546A" w:themeColor="text2"/>
                <w:sz w:val="18"/>
              </w:rPr>
            </w:pPr>
            <w:r w:rsidRPr="00CE4178">
              <w:rPr>
                <w:rFonts w:cstheme="minorHAnsi"/>
                <w:sz w:val="18"/>
                <w:szCs w:val="28"/>
              </w:rPr>
              <w:t>S. PONVOY</w:t>
            </w:r>
          </w:p>
        </w:tc>
        <w:tc>
          <w:tcPr>
            <w:tcW w:w="4744" w:type="dxa"/>
          </w:tcPr>
          <w:p w14:paraId="547F4275" w14:textId="77777777" w:rsidR="00732FEF" w:rsidRPr="00CE4178" w:rsidRDefault="00732FEF" w:rsidP="00F17B2A">
            <w:pPr>
              <w:rPr>
                <w:b/>
                <w:color w:val="44546A" w:themeColor="text2"/>
                <w:sz w:val="18"/>
              </w:rPr>
            </w:pPr>
            <w:r w:rsidRPr="00CE4178">
              <w:rPr>
                <w:rFonts w:cstheme="minorHAnsi"/>
                <w:sz w:val="18"/>
                <w:szCs w:val="28"/>
              </w:rPr>
              <w:t>France Invest</w:t>
            </w:r>
          </w:p>
        </w:tc>
      </w:tr>
      <w:tr w:rsidR="00732FEF" w14:paraId="12E1AE9D" w14:textId="77777777" w:rsidTr="00F17B2A">
        <w:tc>
          <w:tcPr>
            <w:tcW w:w="4744" w:type="dxa"/>
          </w:tcPr>
          <w:p w14:paraId="02824011" w14:textId="77777777" w:rsidR="00732FEF" w:rsidRPr="00CE4178" w:rsidRDefault="00732FEF" w:rsidP="00F17B2A">
            <w:pPr>
              <w:rPr>
                <w:b/>
                <w:color w:val="44546A" w:themeColor="text2"/>
                <w:sz w:val="18"/>
              </w:rPr>
            </w:pPr>
            <w:r w:rsidRPr="00CE4178">
              <w:rPr>
                <w:rFonts w:cstheme="minorHAnsi"/>
                <w:sz w:val="18"/>
                <w:szCs w:val="28"/>
              </w:rPr>
              <w:t>S. ELBAZ</w:t>
            </w:r>
          </w:p>
        </w:tc>
        <w:tc>
          <w:tcPr>
            <w:tcW w:w="4744" w:type="dxa"/>
          </w:tcPr>
          <w:p w14:paraId="59E0747C" w14:textId="77777777" w:rsidR="00732FEF" w:rsidRPr="00CE4178" w:rsidRDefault="00732FEF" w:rsidP="00F17B2A">
            <w:pPr>
              <w:rPr>
                <w:b/>
                <w:color w:val="44546A" w:themeColor="text2"/>
                <w:sz w:val="18"/>
              </w:rPr>
            </w:pPr>
            <w:r w:rsidRPr="00CE4178">
              <w:rPr>
                <w:rFonts w:cstheme="minorHAnsi"/>
                <w:sz w:val="18"/>
                <w:szCs w:val="28"/>
              </w:rPr>
              <w:t>Sogen</w:t>
            </w:r>
          </w:p>
        </w:tc>
      </w:tr>
      <w:tr w:rsidR="00732FEF" w14:paraId="272C59A5" w14:textId="77777777" w:rsidTr="00F17B2A">
        <w:tc>
          <w:tcPr>
            <w:tcW w:w="4744" w:type="dxa"/>
          </w:tcPr>
          <w:p w14:paraId="76F48749" w14:textId="77777777" w:rsidR="00732FEF" w:rsidRPr="00CE4178" w:rsidRDefault="00732FEF" w:rsidP="00F17B2A">
            <w:pPr>
              <w:rPr>
                <w:b/>
                <w:color w:val="44546A" w:themeColor="text2"/>
                <w:sz w:val="18"/>
              </w:rPr>
            </w:pPr>
            <w:r w:rsidRPr="00CE4178">
              <w:rPr>
                <w:rFonts w:cstheme="minorHAnsi"/>
                <w:sz w:val="18"/>
                <w:szCs w:val="28"/>
              </w:rPr>
              <w:t>K. MAMACHE</w:t>
            </w:r>
          </w:p>
        </w:tc>
        <w:tc>
          <w:tcPr>
            <w:tcW w:w="4744" w:type="dxa"/>
          </w:tcPr>
          <w:p w14:paraId="1DF6FBF3" w14:textId="77777777" w:rsidR="00732FEF" w:rsidRPr="00CE4178" w:rsidRDefault="00732FEF" w:rsidP="00F17B2A">
            <w:pPr>
              <w:rPr>
                <w:b/>
                <w:color w:val="44546A" w:themeColor="text2"/>
                <w:sz w:val="18"/>
              </w:rPr>
            </w:pPr>
            <w:r w:rsidRPr="00CE4178">
              <w:rPr>
                <w:rFonts w:cstheme="minorHAnsi"/>
                <w:sz w:val="18"/>
                <w:szCs w:val="28"/>
              </w:rPr>
              <w:t>SGSS</w:t>
            </w:r>
          </w:p>
        </w:tc>
      </w:tr>
    </w:tbl>
    <w:p w14:paraId="0CC32E51" w14:textId="174BF3F4" w:rsidR="00732FEF" w:rsidRPr="00CE4178" w:rsidRDefault="00732FEF" w:rsidP="00732FEF">
      <w:pPr>
        <w:rPr>
          <w:b/>
          <w:color w:val="44546A" w:themeColor="text2"/>
          <w:sz w:val="2"/>
        </w:rPr>
      </w:pPr>
    </w:p>
    <w:p w14:paraId="36D499F1" w14:textId="77777777" w:rsidR="00732FEF" w:rsidRDefault="00732FEF" w:rsidP="00CE4178">
      <w:pPr>
        <w:spacing w:after="120"/>
        <w:rPr>
          <w:b/>
          <w:color w:val="44546A" w:themeColor="text2"/>
        </w:rPr>
      </w:pPr>
      <w:r>
        <w:rPr>
          <w:b/>
          <w:color w:val="44546A" w:themeColor="text2"/>
        </w:rPr>
        <w:t>Groupe FPS/OFS</w:t>
      </w:r>
    </w:p>
    <w:tbl>
      <w:tblPr>
        <w:tblStyle w:val="Grilledutableau"/>
        <w:tblW w:w="0" w:type="auto"/>
        <w:tblLook w:val="04A0" w:firstRow="1" w:lastRow="0" w:firstColumn="1" w:lastColumn="0" w:noHBand="0" w:noVBand="1"/>
      </w:tblPr>
      <w:tblGrid>
        <w:gridCol w:w="4743"/>
        <w:gridCol w:w="4743"/>
      </w:tblGrid>
      <w:tr w:rsidR="00732FEF" w:rsidRPr="001322F4" w14:paraId="2AABF765" w14:textId="77777777" w:rsidTr="0042659E">
        <w:trPr>
          <w:trHeight w:val="248"/>
        </w:trPr>
        <w:tc>
          <w:tcPr>
            <w:tcW w:w="4743" w:type="dxa"/>
          </w:tcPr>
          <w:p w14:paraId="15227517" w14:textId="77777777" w:rsidR="00732FEF" w:rsidRPr="00CE4178" w:rsidRDefault="00732FEF" w:rsidP="00F17B2A">
            <w:pPr>
              <w:rPr>
                <w:rFonts w:cstheme="minorHAnsi"/>
                <w:sz w:val="18"/>
                <w:szCs w:val="28"/>
              </w:rPr>
            </w:pPr>
            <w:r w:rsidRPr="00CE4178">
              <w:rPr>
                <w:rFonts w:cstheme="minorHAnsi"/>
                <w:sz w:val="18"/>
                <w:szCs w:val="28"/>
              </w:rPr>
              <w:t>T. VALLI</w:t>
            </w:r>
          </w:p>
        </w:tc>
        <w:tc>
          <w:tcPr>
            <w:tcW w:w="4743" w:type="dxa"/>
          </w:tcPr>
          <w:p w14:paraId="65F2B238" w14:textId="77777777" w:rsidR="00732FEF" w:rsidRPr="00CE4178" w:rsidRDefault="00732FEF" w:rsidP="00F17B2A">
            <w:pPr>
              <w:rPr>
                <w:rFonts w:cstheme="minorHAnsi"/>
                <w:sz w:val="18"/>
                <w:szCs w:val="28"/>
              </w:rPr>
            </w:pPr>
            <w:r w:rsidRPr="00CE4178">
              <w:rPr>
                <w:rFonts w:cstheme="minorHAnsi"/>
                <w:sz w:val="18"/>
                <w:szCs w:val="28"/>
              </w:rPr>
              <w:t xml:space="preserve">AFG </w:t>
            </w:r>
          </w:p>
        </w:tc>
      </w:tr>
      <w:tr w:rsidR="00732FEF" w14:paraId="292E15AE" w14:textId="77777777" w:rsidTr="0042659E">
        <w:trPr>
          <w:trHeight w:val="260"/>
        </w:trPr>
        <w:tc>
          <w:tcPr>
            <w:tcW w:w="4743" w:type="dxa"/>
          </w:tcPr>
          <w:p w14:paraId="223EAA7F" w14:textId="77777777" w:rsidR="00732FEF" w:rsidRPr="00CE4178" w:rsidRDefault="00732FEF" w:rsidP="00F17B2A">
            <w:pPr>
              <w:rPr>
                <w:b/>
                <w:color w:val="44546A" w:themeColor="text2"/>
                <w:sz w:val="18"/>
              </w:rPr>
            </w:pPr>
            <w:r w:rsidRPr="00CE4178">
              <w:rPr>
                <w:rFonts w:cstheme="minorHAnsi"/>
                <w:sz w:val="18"/>
                <w:szCs w:val="28"/>
              </w:rPr>
              <w:t>Alain DEVARENNE</w:t>
            </w:r>
          </w:p>
        </w:tc>
        <w:tc>
          <w:tcPr>
            <w:tcW w:w="4743" w:type="dxa"/>
          </w:tcPr>
          <w:p w14:paraId="591F8494" w14:textId="77777777" w:rsidR="00732FEF" w:rsidRPr="00CE4178" w:rsidRDefault="00732FEF" w:rsidP="00F17B2A">
            <w:pPr>
              <w:rPr>
                <w:b/>
                <w:color w:val="44546A" w:themeColor="text2"/>
                <w:sz w:val="18"/>
              </w:rPr>
            </w:pPr>
            <w:r w:rsidRPr="00CE4178">
              <w:rPr>
                <w:rFonts w:cstheme="minorHAnsi"/>
                <w:sz w:val="18"/>
                <w:szCs w:val="28"/>
              </w:rPr>
              <w:t>FC Partner</w:t>
            </w:r>
          </w:p>
        </w:tc>
      </w:tr>
      <w:tr w:rsidR="00732FEF" w14:paraId="31224431" w14:textId="77777777" w:rsidTr="0042659E">
        <w:trPr>
          <w:trHeight w:val="248"/>
        </w:trPr>
        <w:tc>
          <w:tcPr>
            <w:tcW w:w="4743" w:type="dxa"/>
          </w:tcPr>
          <w:p w14:paraId="68028DF9" w14:textId="77777777" w:rsidR="00732FEF" w:rsidRPr="00CE4178" w:rsidRDefault="00732FEF" w:rsidP="00F17B2A">
            <w:pPr>
              <w:rPr>
                <w:b/>
                <w:color w:val="44546A" w:themeColor="text2"/>
                <w:sz w:val="18"/>
              </w:rPr>
            </w:pPr>
            <w:r w:rsidRPr="00CE4178">
              <w:rPr>
                <w:rFonts w:cstheme="minorHAnsi"/>
                <w:sz w:val="18"/>
                <w:szCs w:val="28"/>
              </w:rPr>
              <w:t>Frédéric CASADEI</w:t>
            </w:r>
          </w:p>
        </w:tc>
        <w:tc>
          <w:tcPr>
            <w:tcW w:w="4743" w:type="dxa"/>
          </w:tcPr>
          <w:p w14:paraId="450D7A86" w14:textId="77777777" w:rsidR="00732FEF" w:rsidRPr="00CE4178" w:rsidRDefault="00732FEF" w:rsidP="00F17B2A">
            <w:pPr>
              <w:rPr>
                <w:b/>
                <w:color w:val="44546A" w:themeColor="text2"/>
                <w:sz w:val="18"/>
              </w:rPr>
            </w:pPr>
            <w:r w:rsidRPr="00CE4178">
              <w:rPr>
                <w:rFonts w:cstheme="minorHAnsi"/>
                <w:sz w:val="18"/>
                <w:szCs w:val="28"/>
              </w:rPr>
              <w:t>FC Partner</w:t>
            </w:r>
          </w:p>
        </w:tc>
      </w:tr>
      <w:tr w:rsidR="00732FEF" w14:paraId="197AC023" w14:textId="77777777" w:rsidTr="0042659E">
        <w:trPr>
          <w:trHeight w:val="248"/>
        </w:trPr>
        <w:tc>
          <w:tcPr>
            <w:tcW w:w="4743" w:type="dxa"/>
          </w:tcPr>
          <w:p w14:paraId="0A9ED9A8" w14:textId="77777777" w:rsidR="00732FEF" w:rsidRPr="00CE4178" w:rsidRDefault="00732FEF" w:rsidP="00F17B2A">
            <w:pPr>
              <w:rPr>
                <w:b/>
                <w:color w:val="44546A" w:themeColor="text2"/>
                <w:sz w:val="18"/>
              </w:rPr>
            </w:pPr>
            <w:r w:rsidRPr="00CE4178">
              <w:rPr>
                <w:rFonts w:cstheme="minorHAnsi"/>
                <w:sz w:val="18"/>
                <w:szCs w:val="28"/>
              </w:rPr>
              <w:t>R. BONIN</w:t>
            </w:r>
          </w:p>
        </w:tc>
        <w:tc>
          <w:tcPr>
            <w:tcW w:w="4743" w:type="dxa"/>
          </w:tcPr>
          <w:p w14:paraId="0B10AAF2" w14:textId="77777777" w:rsidR="00732FEF" w:rsidRPr="00CE4178" w:rsidRDefault="00732FEF" w:rsidP="00F17B2A">
            <w:pPr>
              <w:rPr>
                <w:b/>
                <w:color w:val="44546A" w:themeColor="text2"/>
                <w:sz w:val="18"/>
              </w:rPr>
            </w:pPr>
            <w:r w:rsidRPr="00CE4178">
              <w:rPr>
                <w:rFonts w:cstheme="minorHAnsi"/>
                <w:sz w:val="18"/>
                <w:szCs w:val="28"/>
              </w:rPr>
              <w:t>BNP Capital Partner</w:t>
            </w:r>
          </w:p>
        </w:tc>
      </w:tr>
      <w:tr w:rsidR="00732FEF" w14:paraId="5CA92CCD" w14:textId="77777777" w:rsidTr="0042659E">
        <w:trPr>
          <w:trHeight w:val="248"/>
        </w:trPr>
        <w:tc>
          <w:tcPr>
            <w:tcW w:w="4743" w:type="dxa"/>
          </w:tcPr>
          <w:p w14:paraId="1529B75D" w14:textId="77777777" w:rsidR="00732FEF" w:rsidRDefault="00732FEF" w:rsidP="00F17B2A">
            <w:pPr>
              <w:rPr>
                <w:rFonts w:cstheme="minorHAnsi"/>
                <w:sz w:val="20"/>
                <w:szCs w:val="28"/>
              </w:rPr>
            </w:pPr>
            <w:r>
              <w:rPr>
                <w:rFonts w:cstheme="minorHAnsi"/>
                <w:sz w:val="20"/>
                <w:szCs w:val="28"/>
              </w:rPr>
              <w:t>B. DAUMESNIL</w:t>
            </w:r>
          </w:p>
        </w:tc>
        <w:tc>
          <w:tcPr>
            <w:tcW w:w="4743" w:type="dxa"/>
          </w:tcPr>
          <w:p w14:paraId="7C6C2A8C" w14:textId="77777777" w:rsidR="00732FEF" w:rsidRDefault="00732FEF" w:rsidP="00F17B2A">
            <w:pPr>
              <w:rPr>
                <w:rFonts w:cstheme="minorHAnsi"/>
                <w:sz w:val="20"/>
                <w:szCs w:val="28"/>
              </w:rPr>
            </w:pPr>
            <w:r>
              <w:rPr>
                <w:rFonts w:cstheme="minorHAnsi"/>
                <w:sz w:val="20"/>
                <w:szCs w:val="28"/>
              </w:rPr>
              <w:t>BPI France</w:t>
            </w:r>
          </w:p>
        </w:tc>
      </w:tr>
      <w:tr w:rsidR="00732FEF" w14:paraId="023CC4B3" w14:textId="77777777" w:rsidTr="0042659E">
        <w:trPr>
          <w:trHeight w:val="260"/>
        </w:trPr>
        <w:tc>
          <w:tcPr>
            <w:tcW w:w="4743" w:type="dxa"/>
          </w:tcPr>
          <w:p w14:paraId="61289CB2" w14:textId="77777777" w:rsidR="00732FEF" w:rsidRDefault="00732FEF" w:rsidP="00F17B2A">
            <w:pPr>
              <w:rPr>
                <w:rFonts w:cstheme="minorHAnsi"/>
                <w:sz w:val="20"/>
                <w:szCs w:val="28"/>
              </w:rPr>
            </w:pPr>
            <w:r>
              <w:rPr>
                <w:rFonts w:cstheme="minorHAnsi"/>
                <w:sz w:val="20"/>
                <w:szCs w:val="28"/>
              </w:rPr>
              <w:t>Y.</w:t>
            </w:r>
            <w:r w:rsidRPr="001322F4">
              <w:rPr>
                <w:rFonts w:cstheme="minorHAnsi"/>
                <w:sz w:val="20"/>
                <w:szCs w:val="28"/>
              </w:rPr>
              <w:t xml:space="preserve"> GAVEAU</w:t>
            </w:r>
          </w:p>
        </w:tc>
        <w:tc>
          <w:tcPr>
            <w:tcW w:w="4743" w:type="dxa"/>
          </w:tcPr>
          <w:p w14:paraId="6E104BE7" w14:textId="77777777" w:rsidR="00732FEF" w:rsidRDefault="00732FEF" w:rsidP="00F17B2A">
            <w:pPr>
              <w:rPr>
                <w:rFonts w:cstheme="minorHAnsi"/>
                <w:sz w:val="20"/>
                <w:szCs w:val="28"/>
              </w:rPr>
            </w:pPr>
            <w:r w:rsidRPr="001322F4">
              <w:rPr>
                <w:rFonts w:cstheme="minorHAnsi"/>
                <w:sz w:val="20"/>
                <w:szCs w:val="28"/>
              </w:rPr>
              <w:t>CACEIS</w:t>
            </w:r>
          </w:p>
        </w:tc>
      </w:tr>
      <w:tr w:rsidR="00732FEF" w14:paraId="5DC32412" w14:textId="77777777" w:rsidTr="0042659E">
        <w:trPr>
          <w:trHeight w:val="248"/>
        </w:trPr>
        <w:tc>
          <w:tcPr>
            <w:tcW w:w="4743" w:type="dxa"/>
          </w:tcPr>
          <w:p w14:paraId="7052AA2B" w14:textId="77777777" w:rsidR="00732FEF" w:rsidRDefault="00732FEF" w:rsidP="00F17B2A">
            <w:pPr>
              <w:rPr>
                <w:rFonts w:cstheme="minorHAnsi"/>
                <w:sz w:val="20"/>
                <w:szCs w:val="28"/>
              </w:rPr>
            </w:pPr>
            <w:r>
              <w:rPr>
                <w:rFonts w:cstheme="minorHAnsi"/>
                <w:sz w:val="20"/>
                <w:szCs w:val="28"/>
              </w:rPr>
              <w:lastRenderedPageBreak/>
              <w:t>P. BONNET</w:t>
            </w:r>
          </w:p>
        </w:tc>
        <w:tc>
          <w:tcPr>
            <w:tcW w:w="4743" w:type="dxa"/>
          </w:tcPr>
          <w:p w14:paraId="2E5714BB" w14:textId="77777777" w:rsidR="00732FEF" w:rsidRDefault="00732FEF" w:rsidP="00F17B2A">
            <w:pPr>
              <w:rPr>
                <w:rFonts w:cstheme="minorHAnsi"/>
                <w:sz w:val="20"/>
                <w:szCs w:val="28"/>
              </w:rPr>
            </w:pPr>
            <w:r>
              <w:rPr>
                <w:rFonts w:cstheme="minorHAnsi"/>
                <w:sz w:val="20"/>
                <w:szCs w:val="28"/>
              </w:rPr>
              <w:t>LBPAM</w:t>
            </w:r>
          </w:p>
        </w:tc>
      </w:tr>
    </w:tbl>
    <w:p w14:paraId="24F9B24E" w14:textId="2FAD362B" w:rsidR="003C34C2" w:rsidRDefault="003C34C2" w:rsidP="00CE4178"/>
    <w:sectPr w:rsidR="003C34C2" w:rsidSect="003C34C2">
      <w:headerReference w:type="even" r:id="rId9"/>
      <w:headerReference w:type="default" r:id="rId10"/>
      <w:footerReference w:type="even" r:id="rId11"/>
      <w:footerReference w:type="default" r:id="rId12"/>
      <w:headerReference w:type="first" r:id="rId13"/>
      <w:footerReference w:type="first" r:id="rId14"/>
      <w:pgSz w:w="11906" w:h="16838"/>
      <w:pgMar w:top="1134"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7FD6" w14:textId="77777777" w:rsidR="00527CA7" w:rsidRDefault="00527CA7" w:rsidP="00D27EC3">
      <w:pPr>
        <w:spacing w:after="0" w:line="240" w:lineRule="auto"/>
      </w:pPr>
      <w:r>
        <w:separator/>
      </w:r>
    </w:p>
  </w:endnote>
  <w:endnote w:type="continuationSeparator" w:id="0">
    <w:p w14:paraId="5E48BC43" w14:textId="77777777" w:rsidR="00527CA7" w:rsidRDefault="00527CA7" w:rsidP="00D2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AB6A" w14:textId="77777777" w:rsidR="00527CA7" w:rsidRDefault="00527C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391185"/>
      <w:docPartObj>
        <w:docPartGallery w:val="Page Numbers (Bottom of Page)"/>
        <w:docPartUnique/>
      </w:docPartObj>
    </w:sdtPr>
    <w:sdtEndPr/>
    <w:sdtContent>
      <w:p w14:paraId="25857E30" w14:textId="45A8C376" w:rsidR="00527CA7" w:rsidRDefault="00527CA7">
        <w:pPr>
          <w:pStyle w:val="Pieddepage"/>
          <w:jc w:val="right"/>
        </w:pPr>
        <w:r>
          <w:fldChar w:fldCharType="begin"/>
        </w:r>
        <w:r>
          <w:instrText>PAGE   \* MERGEFORMAT</w:instrText>
        </w:r>
        <w:r>
          <w:fldChar w:fldCharType="separate"/>
        </w:r>
        <w:r w:rsidR="00FE3C58">
          <w:rPr>
            <w:noProof/>
          </w:rPr>
          <w:t>4</w:t>
        </w:r>
        <w:r>
          <w:fldChar w:fldCharType="end"/>
        </w:r>
      </w:p>
    </w:sdtContent>
  </w:sdt>
  <w:p w14:paraId="045FDE44" w14:textId="013D3E23" w:rsidR="00527CA7" w:rsidRDefault="00527C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40D3" w14:textId="77777777" w:rsidR="00527CA7" w:rsidRDefault="00527C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E0D3B" w14:textId="77777777" w:rsidR="00527CA7" w:rsidRDefault="00527CA7" w:rsidP="00D27EC3">
      <w:pPr>
        <w:spacing w:after="0" w:line="240" w:lineRule="auto"/>
      </w:pPr>
      <w:r>
        <w:separator/>
      </w:r>
    </w:p>
  </w:footnote>
  <w:footnote w:type="continuationSeparator" w:id="0">
    <w:p w14:paraId="5B7491EF" w14:textId="77777777" w:rsidR="00527CA7" w:rsidRDefault="00527CA7" w:rsidP="00D27EC3">
      <w:pPr>
        <w:spacing w:after="0" w:line="240" w:lineRule="auto"/>
      </w:pPr>
      <w:r>
        <w:continuationSeparator/>
      </w:r>
    </w:p>
  </w:footnote>
  <w:footnote w:id="1">
    <w:p w14:paraId="7F00FFB9" w14:textId="3C6CAEDD" w:rsidR="00527CA7" w:rsidRDefault="00527CA7" w:rsidP="00213613">
      <w:pPr>
        <w:pStyle w:val="Notedebasdepage"/>
      </w:pPr>
      <w:r w:rsidRPr="00D27EC3">
        <w:rPr>
          <w:rStyle w:val="Appelnotedebasdep"/>
          <w:sz w:val="14"/>
        </w:rPr>
        <w:footnoteRef/>
      </w:r>
      <w:r>
        <w:rPr>
          <w:sz w:val="14"/>
        </w:rPr>
        <w:t xml:space="preserve"> Notamment intégration des fonds à risques</w:t>
      </w:r>
      <w:r w:rsidRPr="00D27EC3">
        <w:rPr>
          <w:sz w:val="14"/>
        </w:rPr>
        <w:t xml:space="preserve"> </w:t>
      </w:r>
      <w:r>
        <w:rPr>
          <w:sz w:val="14"/>
        </w:rPr>
        <w:t>dans les nomenclatures de collecte. L’applicatif à également subit une évolution mineure liée à la trimestrialisation des déclarations des fonds immobiliers en 2018 </w:t>
      </w:r>
    </w:p>
  </w:footnote>
  <w:footnote w:id="2">
    <w:p w14:paraId="619AE6FC" w14:textId="1CAB936D" w:rsidR="00EB64F2" w:rsidRDefault="00EB64F2">
      <w:pPr>
        <w:pStyle w:val="Notedebasdepage"/>
      </w:pPr>
      <w:r>
        <w:rPr>
          <w:rStyle w:val="Appelnotedebasdep"/>
        </w:rPr>
        <w:footnoteRef/>
      </w:r>
      <w:r>
        <w:t xml:space="preserve"> </w:t>
      </w:r>
    </w:p>
  </w:footnote>
  <w:footnote w:id="3">
    <w:p w14:paraId="550BBB77" w14:textId="65FED15A" w:rsidR="00EB64F2" w:rsidRPr="00FE3C58" w:rsidRDefault="00EB64F2" w:rsidP="00EB64F2">
      <w:pPr>
        <w:pBdr>
          <w:top w:val="single" w:sz="4" w:space="1" w:color="auto"/>
          <w:left w:val="single" w:sz="4" w:space="4" w:color="auto"/>
          <w:bottom w:val="single" w:sz="4" w:space="1" w:color="auto"/>
          <w:right w:val="single" w:sz="4" w:space="4" w:color="auto"/>
        </w:pBdr>
        <w:rPr>
          <w:b/>
          <w:i/>
          <w:color w:val="00B050"/>
          <w:sz w:val="18"/>
        </w:rPr>
      </w:pPr>
      <w:r w:rsidRPr="00FE3C58">
        <w:rPr>
          <w:b/>
          <w:i/>
          <w:color w:val="00B050"/>
          <w:sz w:val="18"/>
        </w:rPr>
        <w:t>Réponse dans la réunion de conclusion des ateliers</w:t>
      </w:r>
      <w:r>
        <w:rPr>
          <w:b/>
          <w:i/>
          <w:color w:val="00B050"/>
          <w:sz w:val="18"/>
        </w:rPr>
        <w:t xml:space="preserve"> (plus d’actualité)</w:t>
      </w:r>
      <w:r w:rsidRPr="00FE3C58">
        <w:rPr>
          <w:b/>
          <w:i/>
          <w:color w:val="00B050"/>
          <w:sz w:val="18"/>
        </w:rPr>
        <w:t xml:space="preserve">: les sociétés de gestion pourront se connecter au portail Onegate et auront une vision de l’état de collecte pour leurs fonds. En revanche, le mode de connexion sur le portail est unique, les Sociétés de gestion tout comme les remettants auront un accès complet aux déclarations. Ce dernier point présente un avantage pour les sociétés de gestion qui sont juridiquement responsables de la bonne remise de leurs fonds: elles pourront en cas de problème technique du remettant habituel, effectuer les remises pour leurs fonds et éviter d’éventuelles infractions. </w:t>
      </w:r>
    </w:p>
    <w:p w14:paraId="3E23B6DF" w14:textId="77777777" w:rsidR="00EB64F2" w:rsidRPr="00FE3C58" w:rsidRDefault="00EB64F2" w:rsidP="00EB64F2">
      <w:pPr>
        <w:pBdr>
          <w:top w:val="single" w:sz="4" w:space="1" w:color="auto"/>
          <w:left w:val="single" w:sz="4" w:space="4" w:color="auto"/>
          <w:bottom w:val="single" w:sz="4" w:space="1" w:color="auto"/>
          <w:right w:val="single" w:sz="4" w:space="4" w:color="auto"/>
        </w:pBdr>
        <w:rPr>
          <w:b/>
          <w:i/>
          <w:color w:val="00B050"/>
          <w:sz w:val="18"/>
        </w:rPr>
      </w:pPr>
      <w:r w:rsidRPr="00FE3C58">
        <w:rPr>
          <w:b/>
          <w:i/>
          <w:color w:val="00B050"/>
          <w:sz w:val="18"/>
        </w:rPr>
        <w:t>Par sécurité, le portail OneGate trace toutes les actions effectuées pour chaque identifiant.</w:t>
      </w:r>
    </w:p>
    <w:p w14:paraId="7B2B5F67" w14:textId="77777777" w:rsidR="00EB64F2" w:rsidRPr="00FE3C58" w:rsidRDefault="00EB64F2" w:rsidP="00EB64F2">
      <w:pPr>
        <w:pBdr>
          <w:top w:val="single" w:sz="4" w:space="1" w:color="auto"/>
          <w:left w:val="single" w:sz="4" w:space="4" w:color="auto"/>
          <w:bottom w:val="single" w:sz="4" w:space="1" w:color="auto"/>
          <w:right w:val="single" w:sz="4" w:space="4" w:color="auto"/>
        </w:pBdr>
        <w:rPr>
          <w:b/>
          <w:i/>
          <w:color w:val="00B050"/>
          <w:sz w:val="18"/>
        </w:rPr>
      </w:pPr>
      <w:r w:rsidRPr="00FE3C58">
        <w:rPr>
          <w:b/>
          <w:i/>
          <w:color w:val="00B050"/>
          <w:sz w:val="18"/>
        </w:rPr>
        <w:t>Enfin il est précisé qu’une société de gestion n’aura accès qu’à ses propres fonds, de même qu’un remettant. Pour cela la Banque de France gérera les combinaisons remettant/société de gestion/fonds pour les accréditations au portail.</w:t>
      </w:r>
      <w:r w:rsidRPr="00FE3C58">
        <w:rPr>
          <w:rStyle w:val="Marquedecommentaire"/>
          <w:sz w:val="12"/>
        </w:rPr>
        <w:annotationRef/>
      </w:r>
    </w:p>
    <w:p w14:paraId="07883C1D" w14:textId="395E075E" w:rsidR="00EB64F2" w:rsidRDefault="00EB64F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46FD" w14:textId="77777777" w:rsidR="00527CA7" w:rsidRDefault="00527C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ED455" w14:textId="77777777" w:rsidR="00527CA7" w:rsidRDefault="00527C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6C9E" w14:textId="77777777" w:rsidR="00527CA7" w:rsidRDefault="00527C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A00"/>
      </v:shape>
    </w:pict>
  </w:numPicBullet>
  <w:abstractNum w:abstractNumId="0" w15:restartNumberingAfterBreak="0">
    <w:nsid w:val="030F18B4"/>
    <w:multiLevelType w:val="hybridMultilevel"/>
    <w:tmpl w:val="C4B87C8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5345123"/>
    <w:multiLevelType w:val="hybridMultilevel"/>
    <w:tmpl w:val="E56E71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487C39"/>
    <w:multiLevelType w:val="hybridMultilevel"/>
    <w:tmpl w:val="B4940B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26847"/>
    <w:multiLevelType w:val="hybridMultilevel"/>
    <w:tmpl w:val="7AB4D946"/>
    <w:lvl w:ilvl="0" w:tplc="040C0011">
      <w:start w:val="1"/>
      <w:numFmt w:val="decimal"/>
      <w:lvlText w:val="%1)"/>
      <w:lvlJc w:val="left"/>
      <w:pPr>
        <w:ind w:left="720" w:hanging="360"/>
      </w:pPr>
      <w:rPr>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777808"/>
    <w:multiLevelType w:val="hybridMultilevel"/>
    <w:tmpl w:val="47BEB608"/>
    <w:lvl w:ilvl="0" w:tplc="D5C8F23A">
      <w:start w:val="1"/>
      <w:numFmt w:val="lowerLetter"/>
      <w:lvlText w:val="%1)"/>
      <w:lvlJc w:val="left"/>
      <w:pPr>
        <w:ind w:left="720" w:hanging="360"/>
      </w:pPr>
      <w:rPr>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6D5C4B"/>
    <w:multiLevelType w:val="hybridMultilevel"/>
    <w:tmpl w:val="CC2654E6"/>
    <w:lvl w:ilvl="0" w:tplc="0B3EACE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31F3252"/>
    <w:multiLevelType w:val="hybridMultilevel"/>
    <w:tmpl w:val="8C729D18"/>
    <w:lvl w:ilvl="0" w:tplc="040C0017">
      <w:start w:val="1"/>
      <w:numFmt w:val="lowerLetter"/>
      <w:lvlText w:val="%1)"/>
      <w:lvlJc w:val="left"/>
      <w:pPr>
        <w:ind w:left="720" w:hanging="360"/>
      </w:pPr>
      <w:rPr>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9372D8"/>
    <w:multiLevelType w:val="hybridMultilevel"/>
    <w:tmpl w:val="917019D4"/>
    <w:lvl w:ilvl="0" w:tplc="14BCCB5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499589F"/>
    <w:multiLevelType w:val="hybridMultilevel"/>
    <w:tmpl w:val="DE2832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DD052E"/>
    <w:multiLevelType w:val="hybridMultilevel"/>
    <w:tmpl w:val="E7B0F270"/>
    <w:lvl w:ilvl="0" w:tplc="040C000B">
      <w:start w:val="1"/>
      <w:numFmt w:val="bullet"/>
      <w:lvlText w:val=""/>
      <w:lvlJc w:val="left"/>
      <w:pPr>
        <w:ind w:left="815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C85FB1"/>
    <w:multiLevelType w:val="hybridMultilevel"/>
    <w:tmpl w:val="7946D49C"/>
    <w:lvl w:ilvl="0" w:tplc="040C0011">
      <w:start w:val="1"/>
      <w:numFmt w:val="decimal"/>
      <w:lvlText w:val="%1)"/>
      <w:lvlJc w:val="left"/>
      <w:pPr>
        <w:ind w:left="720" w:hanging="360"/>
      </w:pPr>
      <w:rPr>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977111"/>
    <w:multiLevelType w:val="hybridMultilevel"/>
    <w:tmpl w:val="76028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3B6F07"/>
    <w:multiLevelType w:val="hybridMultilevel"/>
    <w:tmpl w:val="5FB2A8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BA077B"/>
    <w:multiLevelType w:val="hybridMultilevel"/>
    <w:tmpl w:val="3372F408"/>
    <w:lvl w:ilvl="0" w:tplc="040C0017">
      <w:start w:val="1"/>
      <w:numFmt w:val="lowerLetter"/>
      <w:lvlText w:val="%1)"/>
      <w:lvlJc w:val="left"/>
      <w:pPr>
        <w:ind w:left="720" w:hanging="360"/>
      </w:pPr>
      <w:rPr>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F96621"/>
    <w:multiLevelType w:val="hybridMultilevel"/>
    <w:tmpl w:val="B4D850F0"/>
    <w:lvl w:ilvl="0" w:tplc="4AFABAB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8B428D"/>
    <w:multiLevelType w:val="hybridMultilevel"/>
    <w:tmpl w:val="78B2B466"/>
    <w:lvl w:ilvl="0" w:tplc="66065A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9D2A0D"/>
    <w:multiLevelType w:val="hybridMultilevel"/>
    <w:tmpl w:val="32DA274E"/>
    <w:lvl w:ilvl="0" w:tplc="AEF22A54">
      <w:numFmt w:val="bullet"/>
      <w:lvlText w:val="-"/>
      <w:lvlJc w:val="left"/>
      <w:pPr>
        <w:ind w:left="2487" w:hanging="360"/>
      </w:pPr>
      <w:rPr>
        <w:rFonts w:ascii="Copperplate Gothic Light" w:eastAsiaTheme="minorHAnsi" w:hAnsi="Copperplate Gothic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D1330C"/>
    <w:multiLevelType w:val="hybridMultilevel"/>
    <w:tmpl w:val="07E8A0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5E73F0"/>
    <w:multiLevelType w:val="hybridMultilevel"/>
    <w:tmpl w:val="0AEECE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BB3F46"/>
    <w:multiLevelType w:val="hybridMultilevel"/>
    <w:tmpl w:val="47BEB608"/>
    <w:lvl w:ilvl="0" w:tplc="D5C8F23A">
      <w:start w:val="1"/>
      <w:numFmt w:val="lowerLetter"/>
      <w:lvlText w:val="%1)"/>
      <w:lvlJc w:val="left"/>
      <w:pPr>
        <w:ind w:left="720" w:hanging="360"/>
      </w:pPr>
      <w:rPr>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5379AC"/>
    <w:multiLevelType w:val="hybridMultilevel"/>
    <w:tmpl w:val="7C10EC38"/>
    <w:lvl w:ilvl="0" w:tplc="B2B45886">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9382C58"/>
    <w:multiLevelType w:val="hybridMultilevel"/>
    <w:tmpl w:val="B6DA69F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98E1890"/>
    <w:multiLevelType w:val="hybridMultilevel"/>
    <w:tmpl w:val="6382D540"/>
    <w:lvl w:ilvl="0" w:tplc="A6E8A2BC">
      <w:start w:val="1"/>
      <w:numFmt w:val="decimal"/>
      <w:lvlText w:val="%1)"/>
      <w:lvlJc w:val="left"/>
      <w:pPr>
        <w:ind w:left="720" w:hanging="360"/>
      </w:pPr>
      <w:rPr>
        <w:rFonts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D414B6"/>
    <w:multiLevelType w:val="hybridMultilevel"/>
    <w:tmpl w:val="6F74466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0760D36"/>
    <w:multiLevelType w:val="hybridMultilevel"/>
    <w:tmpl w:val="5712D2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004FA7"/>
    <w:multiLevelType w:val="hybridMultilevel"/>
    <w:tmpl w:val="1862DE9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5B0D54B9"/>
    <w:multiLevelType w:val="hybridMultilevel"/>
    <w:tmpl w:val="9D2E7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C53C9C"/>
    <w:multiLevelType w:val="hybridMultilevel"/>
    <w:tmpl w:val="FE7094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C76E6B"/>
    <w:multiLevelType w:val="hybridMultilevel"/>
    <w:tmpl w:val="FAF4F8F6"/>
    <w:lvl w:ilvl="0" w:tplc="BD2E1098">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1320A82"/>
    <w:multiLevelType w:val="hybridMultilevel"/>
    <w:tmpl w:val="037266D2"/>
    <w:lvl w:ilvl="0" w:tplc="B5D419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47DC9"/>
    <w:multiLevelType w:val="hybridMultilevel"/>
    <w:tmpl w:val="E708D02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28433E"/>
    <w:multiLevelType w:val="hybridMultilevel"/>
    <w:tmpl w:val="C786DE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54B2264"/>
    <w:multiLevelType w:val="hybridMultilevel"/>
    <w:tmpl w:val="47DC391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DD224D8"/>
    <w:multiLevelType w:val="hybridMultilevel"/>
    <w:tmpl w:val="6CA6A6BE"/>
    <w:lvl w:ilvl="0" w:tplc="A6E8A2BC">
      <w:start w:val="1"/>
      <w:numFmt w:val="decimal"/>
      <w:lvlText w:val="%1)"/>
      <w:lvlJc w:val="left"/>
      <w:pPr>
        <w:ind w:left="720" w:hanging="360"/>
      </w:pPr>
      <w:rPr>
        <w:rFonts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32"/>
  </w:num>
  <w:num w:numId="3">
    <w:abstractNumId w:val="33"/>
  </w:num>
  <w:num w:numId="4">
    <w:abstractNumId w:val="31"/>
  </w:num>
  <w:num w:numId="5">
    <w:abstractNumId w:val="23"/>
  </w:num>
  <w:num w:numId="6">
    <w:abstractNumId w:val="21"/>
  </w:num>
  <w:num w:numId="7">
    <w:abstractNumId w:val="30"/>
  </w:num>
  <w:num w:numId="8">
    <w:abstractNumId w:val="14"/>
  </w:num>
  <w:num w:numId="9">
    <w:abstractNumId w:val="9"/>
  </w:num>
  <w:num w:numId="10">
    <w:abstractNumId w:val="2"/>
  </w:num>
  <w:num w:numId="11">
    <w:abstractNumId w:val="26"/>
  </w:num>
  <w:num w:numId="12">
    <w:abstractNumId w:val="15"/>
  </w:num>
  <w:num w:numId="13">
    <w:abstractNumId w:val="17"/>
  </w:num>
  <w:num w:numId="14">
    <w:abstractNumId w:val="16"/>
  </w:num>
  <w:num w:numId="15">
    <w:abstractNumId w:val="29"/>
  </w:num>
  <w:num w:numId="16">
    <w:abstractNumId w:val="1"/>
  </w:num>
  <w:num w:numId="17">
    <w:abstractNumId w:val="4"/>
  </w:num>
  <w:num w:numId="18">
    <w:abstractNumId w:val="6"/>
  </w:num>
  <w:num w:numId="19">
    <w:abstractNumId w:val="12"/>
  </w:num>
  <w:num w:numId="20">
    <w:abstractNumId w:val="3"/>
  </w:num>
  <w:num w:numId="21">
    <w:abstractNumId w:val="10"/>
  </w:num>
  <w:num w:numId="22">
    <w:abstractNumId w:val="27"/>
  </w:num>
  <w:num w:numId="23">
    <w:abstractNumId w:val="8"/>
  </w:num>
  <w:num w:numId="24">
    <w:abstractNumId w:val="5"/>
  </w:num>
  <w:num w:numId="25">
    <w:abstractNumId w:val="7"/>
  </w:num>
  <w:num w:numId="26">
    <w:abstractNumId w:val="18"/>
  </w:num>
  <w:num w:numId="27">
    <w:abstractNumId w:val="24"/>
  </w:num>
  <w:num w:numId="28">
    <w:abstractNumId w:val="19"/>
  </w:num>
  <w:num w:numId="29">
    <w:abstractNumId w:val="13"/>
  </w:num>
  <w:num w:numId="30">
    <w:abstractNumId w:val="22"/>
  </w:num>
  <w:num w:numId="31">
    <w:abstractNumId w:val="0"/>
  </w:num>
  <w:num w:numId="32">
    <w:abstractNumId w:val="25"/>
  </w:num>
  <w:num w:numId="33">
    <w:abstractNumId w:val="2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38"/>
    <w:rsid w:val="00003564"/>
    <w:rsid w:val="000135A2"/>
    <w:rsid w:val="00021210"/>
    <w:rsid w:val="00031156"/>
    <w:rsid w:val="000856DA"/>
    <w:rsid w:val="00090676"/>
    <w:rsid w:val="0009580A"/>
    <w:rsid w:val="000A286A"/>
    <w:rsid w:val="000A523A"/>
    <w:rsid w:val="000A7A0F"/>
    <w:rsid w:val="000B65A5"/>
    <w:rsid w:val="000C1B3C"/>
    <w:rsid w:val="000D1D7D"/>
    <w:rsid w:val="000E5B32"/>
    <w:rsid w:val="00100A4D"/>
    <w:rsid w:val="00112C99"/>
    <w:rsid w:val="0011370A"/>
    <w:rsid w:val="001142E6"/>
    <w:rsid w:val="001304E5"/>
    <w:rsid w:val="001322F4"/>
    <w:rsid w:val="00140FB4"/>
    <w:rsid w:val="0014141C"/>
    <w:rsid w:val="00151983"/>
    <w:rsid w:val="00153FAB"/>
    <w:rsid w:val="0016165B"/>
    <w:rsid w:val="00167E24"/>
    <w:rsid w:val="0017764D"/>
    <w:rsid w:val="00185586"/>
    <w:rsid w:val="00194C38"/>
    <w:rsid w:val="00195EA7"/>
    <w:rsid w:val="00197BBE"/>
    <w:rsid w:val="001B2517"/>
    <w:rsid w:val="001C0FFE"/>
    <w:rsid w:val="001C34DF"/>
    <w:rsid w:val="001C5F1E"/>
    <w:rsid w:val="001E3CD5"/>
    <w:rsid w:val="001F24DF"/>
    <w:rsid w:val="00200BB3"/>
    <w:rsid w:val="002046A8"/>
    <w:rsid w:val="0020486B"/>
    <w:rsid w:val="0020611D"/>
    <w:rsid w:val="00210CB4"/>
    <w:rsid w:val="00213613"/>
    <w:rsid w:val="00213C26"/>
    <w:rsid w:val="00246D78"/>
    <w:rsid w:val="00281FF5"/>
    <w:rsid w:val="002A0147"/>
    <w:rsid w:val="002C2340"/>
    <w:rsid w:val="002C4F1C"/>
    <w:rsid w:val="002C6829"/>
    <w:rsid w:val="003061F0"/>
    <w:rsid w:val="00316A14"/>
    <w:rsid w:val="003332FB"/>
    <w:rsid w:val="00337DA0"/>
    <w:rsid w:val="0034080E"/>
    <w:rsid w:val="00343C6D"/>
    <w:rsid w:val="003513E4"/>
    <w:rsid w:val="0036192C"/>
    <w:rsid w:val="00362B22"/>
    <w:rsid w:val="00385EB3"/>
    <w:rsid w:val="00386FF4"/>
    <w:rsid w:val="003A7229"/>
    <w:rsid w:val="003B38CB"/>
    <w:rsid w:val="003C34C2"/>
    <w:rsid w:val="003C5305"/>
    <w:rsid w:val="003C580C"/>
    <w:rsid w:val="003C6A45"/>
    <w:rsid w:val="003F446D"/>
    <w:rsid w:val="003F4E8C"/>
    <w:rsid w:val="003F61F8"/>
    <w:rsid w:val="00415C55"/>
    <w:rsid w:val="0042659E"/>
    <w:rsid w:val="00436FB8"/>
    <w:rsid w:val="0044193D"/>
    <w:rsid w:val="004422C9"/>
    <w:rsid w:val="004471AC"/>
    <w:rsid w:val="00476F83"/>
    <w:rsid w:val="004819AC"/>
    <w:rsid w:val="00481E1C"/>
    <w:rsid w:val="00484186"/>
    <w:rsid w:val="00484F56"/>
    <w:rsid w:val="004875C7"/>
    <w:rsid w:val="0048785C"/>
    <w:rsid w:val="00497672"/>
    <w:rsid w:val="004B0C65"/>
    <w:rsid w:val="004B51E7"/>
    <w:rsid w:val="004C1D0B"/>
    <w:rsid w:val="004C4375"/>
    <w:rsid w:val="004C63E3"/>
    <w:rsid w:val="004E0CC0"/>
    <w:rsid w:val="004E1331"/>
    <w:rsid w:val="004E7FED"/>
    <w:rsid w:val="004F0006"/>
    <w:rsid w:val="004F548B"/>
    <w:rsid w:val="00525B95"/>
    <w:rsid w:val="00527CA7"/>
    <w:rsid w:val="005341BE"/>
    <w:rsid w:val="00545DAF"/>
    <w:rsid w:val="0054651E"/>
    <w:rsid w:val="00546AD1"/>
    <w:rsid w:val="00547123"/>
    <w:rsid w:val="005474B8"/>
    <w:rsid w:val="00562FBA"/>
    <w:rsid w:val="00567462"/>
    <w:rsid w:val="00580AE9"/>
    <w:rsid w:val="00584C41"/>
    <w:rsid w:val="00587513"/>
    <w:rsid w:val="005B188E"/>
    <w:rsid w:val="005B4FCE"/>
    <w:rsid w:val="005C0C96"/>
    <w:rsid w:val="005C388B"/>
    <w:rsid w:val="005F32E9"/>
    <w:rsid w:val="005F546E"/>
    <w:rsid w:val="005F66C4"/>
    <w:rsid w:val="00604CB3"/>
    <w:rsid w:val="00607575"/>
    <w:rsid w:val="00607935"/>
    <w:rsid w:val="006117D5"/>
    <w:rsid w:val="00623B99"/>
    <w:rsid w:val="00624BE7"/>
    <w:rsid w:val="006346D4"/>
    <w:rsid w:val="00652A6E"/>
    <w:rsid w:val="006760E6"/>
    <w:rsid w:val="00683A95"/>
    <w:rsid w:val="00692C20"/>
    <w:rsid w:val="006A462C"/>
    <w:rsid w:val="006B07AC"/>
    <w:rsid w:val="006B7261"/>
    <w:rsid w:val="006C2AB3"/>
    <w:rsid w:val="006D0009"/>
    <w:rsid w:val="006D0FCD"/>
    <w:rsid w:val="006D3695"/>
    <w:rsid w:val="006E202E"/>
    <w:rsid w:val="006E2D8E"/>
    <w:rsid w:val="0072248B"/>
    <w:rsid w:val="00732FEF"/>
    <w:rsid w:val="00735AE8"/>
    <w:rsid w:val="00761550"/>
    <w:rsid w:val="00783D21"/>
    <w:rsid w:val="00786C5E"/>
    <w:rsid w:val="0079453E"/>
    <w:rsid w:val="00794B5D"/>
    <w:rsid w:val="00794C48"/>
    <w:rsid w:val="007C41F3"/>
    <w:rsid w:val="007C6A9A"/>
    <w:rsid w:val="007C779E"/>
    <w:rsid w:val="007E0131"/>
    <w:rsid w:val="007E7C0D"/>
    <w:rsid w:val="007F5325"/>
    <w:rsid w:val="00801AD3"/>
    <w:rsid w:val="00811DC9"/>
    <w:rsid w:val="00817EAC"/>
    <w:rsid w:val="00821B83"/>
    <w:rsid w:val="00822C9F"/>
    <w:rsid w:val="00825974"/>
    <w:rsid w:val="00833809"/>
    <w:rsid w:val="00833EC9"/>
    <w:rsid w:val="008436CC"/>
    <w:rsid w:val="00853FA5"/>
    <w:rsid w:val="00856602"/>
    <w:rsid w:val="008B59A7"/>
    <w:rsid w:val="008B6852"/>
    <w:rsid w:val="008C5682"/>
    <w:rsid w:val="008C5F5E"/>
    <w:rsid w:val="00905846"/>
    <w:rsid w:val="00914044"/>
    <w:rsid w:val="00916F02"/>
    <w:rsid w:val="00930DF2"/>
    <w:rsid w:val="00931C4A"/>
    <w:rsid w:val="009320C9"/>
    <w:rsid w:val="009370A6"/>
    <w:rsid w:val="009505AC"/>
    <w:rsid w:val="009528E9"/>
    <w:rsid w:val="0096383D"/>
    <w:rsid w:val="00970AF0"/>
    <w:rsid w:val="009730D4"/>
    <w:rsid w:val="00983970"/>
    <w:rsid w:val="009A5BC7"/>
    <w:rsid w:val="009B024B"/>
    <w:rsid w:val="009D51E9"/>
    <w:rsid w:val="009D6021"/>
    <w:rsid w:val="009E2A88"/>
    <w:rsid w:val="009E758F"/>
    <w:rsid w:val="009F7A19"/>
    <w:rsid w:val="00A02D11"/>
    <w:rsid w:val="00A03770"/>
    <w:rsid w:val="00A22208"/>
    <w:rsid w:val="00A35265"/>
    <w:rsid w:val="00A41FE4"/>
    <w:rsid w:val="00A501C0"/>
    <w:rsid w:val="00A52053"/>
    <w:rsid w:val="00A567B1"/>
    <w:rsid w:val="00A66BFC"/>
    <w:rsid w:val="00AB213F"/>
    <w:rsid w:val="00AB5B66"/>
    <w:rsid w:val="00AC2467"/>
    <w:rsid w:val="00AD11E9"/>
    <w:rsid w:val="00AD13C1"/>
    <w:rsid w:val="00AF11C2"/>
    <w:rsid w:val="00AF250F"/>
    <w:rsid w:val="00AF52DA"/>
    <w:rsid w:val="00B0357A"/>
    <w:rsid w:val="00B04DF3"/>
    <w:rsid w:val="00B06B00"/>
    <w:rsid w:val="00B13913"/>
    <w:rsid w:val="00B20726"/>
    <w:rsid w:val="00B34250"/>
    <w:rsid w:val="00B654EB"/>
    <w:rsid w:val="00BB3E34"/>
    <w:rsid w:val="00BB7BC4"/>
    <w:rsid w:val="00BD737E"/>
    <w:rsid w:val="00BF3701"/>
    <w:rsid w:val="00BF399F"/>
    <w:rsid w:val="00C03682"/>
    <w:rsid w:val="00C10E51"/>
    <w:rsid w:val="00C11CB0"/>
    <w:rsid w:val="00C22186"/>
    <w:rsid w:val="00C326FA"/>
    <w:rsid w:val="00C4229F"/>
    <w:rsid w:val="00C4555E"/>
    <w:rsid w:val="00C52570"/>
    <w:rsid w:val="00C67082"/>
    <w:rsid w:val="00C75BAD"/>
    <w:rsid w:val="00CA1948"/>
    <w:rsid w:val="00CC0E39"/>
    <w:rsid w:val="00CC181B"/>
    <w:rsid w:val="00CC19C8"/>
    <w:rsid w:val="00CC2E5D"/>
    <w:rsid w:val="00CC4258"/>
    <w:rsid w:val="00CC60F4"/>
    <w:rsid w:val="00CD58AE"/>
    <w:rsid w:val="00CE4178"/>
    <w:rsid w:val="00CE4946"/>
    <w:rsid w:val="00CE4A61"/>
    <w:rsid w:val="00D032EB"/>
    <w:rsid w:val="00D06400"/>
    <w:rsid w:val="00D074C9"/>
    <w:rsid w:val="00D23640"/>
    <w:rsid w:val="00D27EC3"/>
    <w:rsid w:val="00D41114"/>
    <w:rsid w:val="00D453C7"/>
    <w:rsid w:val="00D63CB2"/>
    <w:rsid w:val="00D64020"/>
    <w:rsid w:val="00D80B07"/>
    <w:rsid w:val="00D82236"/>
    <w:rsid w:val="00D97153"/>
    <w:rsid w:val="00DA38EE"/>
    <w:rsid w:val="00DA3D7A"/>
    <w:rsid w:val="00DB63AD"/>
    <w:rsid w:val="00DC089D"/>
    <w:rsid w:val="00DC6470"/>
    <w:rsid w:val="00DD2B5E"/>
    <w:rsid w:val="00DE5792"/>
    <w:rsid w:val="00DF5927"/>
    <w:rsid w:val="00E35059"/>
    <w:rsid w:val="00E353EF"/>
    <w:rsid w:val="00E35E00"/>
    <w:rsid w:val="00E451D3"/>
    <w:rsid w:val="00E60718"/>
    <w:rsid w:val="00E6208D"/>
    <w:rsid w:val="00E70453"/>
    <w:rsid w:val="00E71B07"/>
    <w:rsid w:val="00E72EDC"/>
    <w:rsid w:val="00E762CD"/>
    <w:rsid w:val="00E77364"/>
    <w:rsid w:val="00E94EF3"/>
    <w:rsid w:val="00E963D0"/>
    <w:rsid w:val="00EB213E"/>
    <w:rsid w:val="00EB64F2"/>
    <w:rsid w:val="00EC19D3"/>
    <w:rsid w:val="00EC4002"/>
    <w:rsid w:val="00EC42AC"/>
    <w:rsid w:val="00EC678E"/>
    <w:rsid w:val="00ED4902"/>
    <w:rsid w:val="00ED5210"/>
    <w:rsid w:val="00ED5909"/>
    <w:rsid w:val="00ED5C83"/>
    <w:rsid w:val="00EF68B4"/>
    <w:rsid w:val="00F10B70"/>
    <w:rsid w:val="00F13088"/>
    <w:rsid w:val="00F17B2A"/>
    <w:rsid w:val="00F21340"/>
    <w:rsid w:val="00F2642A"/>
    <w:rsid w:val="00F367E4"/>
    <w:rsid w:val="00F43721"/>
    <w:rsid w:val="00F55904"/>
    <w:rsid w:val="00F74E05"/>
    <w:rsid w:val="00F752B5"/>
    <w:rsid w:val="00F775C3"/>
    <w:rsid w:val="00FC2584"/>
    <w:rsid w:val="00FC3245"/>
    <w:rsid w:val="00FC3F6A"/>
    <w:rsid w:val="00FC3FB7"/>
    <w:rsid w:val="00FC4549"/>
    <w:rsid w:val="00FC7F86"/>
    <w:rsid w:val="00FE3C58"/>
    <w:rsid w:val="00FE57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3AECC"/>
  <w15:chartTrackingRefBased/>
  <w15:docId w15:val="{DFA934D7-58B8-4EA2-A139-3D9BE959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453C7"/>
    <w:rPr>
      <w:color w:val="0563C1"/>
      <w:u w:val="single"/>
    </w:rPr>
  </w:style>
  <w:style w:type="paragraph" w:styleId="Paragraphedeliste">
    <w:name w:val="List Paragraph"/>
    <w:basedOn w:val="Normal"/>
    <w:uiPriority w:val="34"/>
    <w:qFormat/>
    <w:rsid w:val="00CC60F4"/>
    <w:pPr>
      <w:ind w:left="720"/>
      <w:contextualSpacing/>
    </w:pPr>
  </w:style>
  <w:style w:type="character" w:styleId="Lienhypertextesuivivisit">
    <w:name w:val="FollowedHyperlink"/>
    <w:basedOn w:val="Policepardfaut"/>
    <w:uiPriority w:val="99"/>
    <w:semiHidden/>
    <w:unhideWhenUsed/>
    <w:rsid w:val="00B06B00"/>
    <w:rPr>
      <w:color w:val="954F72" w:themeColor="followedHyperlink"/>
      <w:u w:val="single"/>
    </w:rPr>
  </w:style>
  <w:style w:type="table" w:styleId="Grilledutableau">
    <w:name w:val="Table Grid"/>
    <w:basedOn w:val="TableauNormal"/>
    <w:uiPriority w:val="39"/>
    <w:rsid w:val="0013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27E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7EC3"/>
    <w:rPr>
      <w:sz w:val="20"/>
      <w:szCs w:val="20"/>
    </w:rPr>
  </w:style>
  <w:style w:type="character" w:styleId="Appelnotedebasdep">
    <w:name w:val="footnote reference"/>
    <w:basedOn w:val="Policepardfaut"/>
    <w:uiPriority w:val="99"/>
    <w:semiHidden/>
    <w:unhideWhenUsed/>
    <w:rsid w:val="00D27EC3"/>
    <w:rPr>
      <w:vertAlign w:val="superscript"/>
    </w:rPr>
  </w:style>
  <w:style w:type="paragraph" w:styleId="Retraitnormal">
    <w:name w:val="Normal Indent"/>
    <w:aliases w:val="NORMAL2"/>
    <w:basedOn w:val="Normal"/>
    <w:semiHidden/>
    <w:rsid w:val="00AF250F"/>
    <w:pPr>
      <w:shd w:val="clear" w:color="auto" w:fill="FFFFFF"/>
      <w:spacing w:after="0" w:line="240" w:lineRule="auto"/>
      <w:ind w:left="284" w:right="283"/>
      <w:jc w:val="both"/>
    </w:pPr>
    <w:rPr>
      <w:rFonts w:ascii="Arial" w:eastAsia="Times New Roman" w:hAnsi="Arial" w:cs="Times New Roman"/>
      <w:sz w:val="20"/>
      <w:szCs w:val="20"/>
      <w:lang w:eastAsia="fr-FR"/>
    </w:rPr>
  </w:style>
  <w:style w:type="paragraph" w:styleId="Corpsdetexte2">
    <w:name w:val="Body Text 2"/>
    <w:basedOn w:val="Normal"/>
    <w:link w:val="Corpsdetexte2Car"/>
    <w:semiHidden/>
    <w:rsid w:val="00AF250F"/>
    <w:pPr>
      <w:spacing w:after="0" w:line="240" w:lineRule="auto"/>
      <w:jc w:val="center"/>
    </w:pPr>
    <w:rPr>
      <w:rFonts w:ascii="Times New Roman" w:eastAsia="Times New Roman" w:hAnsi="Times New Roman" w:cs="Times New Roman"/>
      <w:color w:val="000000"/>
      <w:sz w:val="20"/>
      <w:szCs w:val="20"/>
      <w:lang w:eastAsia="fr-FR"/>
    </w:rPr>
  </w:style>
  <w:style w:type="character" w:customStyle="1" w:styleId="Corpsdetexte2Car">
    <w:name w:val="Corps de texte 2 Car"/>
    <w:basedOn w:val="Policepardfaut"/>
    <w:link w:val="Corpsdetexte2"/>
    <w:semiHidden/>
    <w:rsid w:val="00AF250F"/>
    <w:rPr>
      <w:rFonts w:ascii="Times New Roman" w:eastAsia="Times New Roman" w:hAnsi="Times New Roman" w:cs="Times New Roman"/>
      <w:color w:val="000000"/>
      <w:sz w:val="20"/>
      <w:szCs w:val="20"/>
      <w:lang w:eastAsia="fr-FR"/>
    </w:rPr>
  </w:style>
  <w:style w:type="character" w:styleId="Marquedecommentaire">
    <w:name w:val="annotation reference"/>
    <w:basedOn w:val="Policepardfaut"/>
    <w:uiPriority w:val="99"/>
    <w:semiHidden/>
    <w:unhideWhenUsed/>
    <w:rsid w:val="00FC3FB7"/>
    <w:rPr>
      <w:sz w:val="16"/>
      <w:szCs w:val="16"/>
    </w:rPr>
  </w:style>
  <w:style w:type="paragraph" w:styleId="Commentaire">
    <w:name w:val="annotation text"/>
    <w:basedOn w:val="Normal"/>
    <w:link w:val="CommentaireCar"/>
    <w:uiPriority w:val="99"/>
    <w:semiHidden/>
    <w:unhideWhenUsed/>
    <w:rsid w:val="00FC3FB7"/>
    <w:pPr>
      <w:spacing w:line="240" w:lineRule="auto"/>
    </w:pPr>
    <w:rPr>
      <w:sz w:val="20"/>
      <w:szCs w:val="20"/>
    </w:rPr>
  </w:style>
  <w:style w:type="character" w:customStyle="1" w:styleId="CommentaireCar">
    <w:name w:val="Commentaire Car"/>
    <w:basedOn w:val="Policepardfaut"/>
    <w:link w:val="Commentaire"/>
    <w:uiPriority w:val="99"/>
    <w:semiHidden/>
    <w:rsid w:val="00FC3FB7"/>
    <w:rPr>
      <w:sz w:val="20"/>
      <w:szCs w:val="20"/>
    </w:rPr>
  </w:style>
  <w:style w:type="paragraph" w:styleId="Textedebulles">
    <w:name w:val="Balloon Text"/>
    <w:basedOn w:val="Normal"/>
    <w:link w:val="TextedebullesCar"/>
    <w:uiPriority w:val="99"/>
    <w:semiHidden/>
    <w:unhideWhenUsed/>
    <w:rsid w:val="00FC3F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FB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C6A9A"/>
    <w:rPr>
      <w:b/>
      <w:bCs/>
    </w:rPr>
  </w:style>
  <w:style w:type="character" w:customStyle="1" w:styleId="ObjetducommentaireCar">
    <w:name w:val="Objet du commentaire Car"/>
    <w:basedOn w:val="CommentaireCar"/>
    <w:link w:val="Objetducommentaire"/>
    <w:uiPriority w:val="99"/>
    <w:semiHidden/>
    <w:rsid w:val="007C6A9A"/>
    <w:rPr>
      <w:b/>
      <w:bCs/>
      <w:sz w:val="20"/>
      <w:szCs w:val="20"/>
    </w:rPr>
  </w:style>
  <w:style w:type="paragraph" w:styleId="En-tte">
    <w:name w:val="header"/>
    <w:basedOn w:val="Normal"/>
    <w:link w:val="En-tteCar"/>
    <w:uiPriority w:val="99"/>
    <w:unhideWhenUsed/>
    <w:rsid w:val="00A35265"/>
    <w:pPr>
      <w:tabs>
        <w:tab w:val="center" w:pos="4536"/>
        <w:tab w:val="right" w:pos="9072"/>
      </w:tabs>
      <w:spacing w:after="0" w:line="240" w:lineRule="auto"/>
    </w:pPr>
  </w:style>
  <w:style w:type="character" w:customStyle="1" w:styleId="En-tteCar">
    <w:name w:val="En-tête Car"/>
    <w:basedOn w:val="Policepardfaut"/>
    <w:link w:val="En-tte"/>
    <w:uiPriority w:val="99"/>
    <w:rsid w:val="00A35265"/>
  </w:style>
  <w:style w:type="paragraph" w:styleId="Pieddepage">
    <w:name w:val="footer"/>
    <w:basedOn w:val="Normal"/>
    <w:link w:val="PieddepageCar"/>
    <w:uiPriority w:val="99"/>
    <w:unhideWhenUsed/>
    <w:rsid w:val="00A352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5265"/>
  </w:style>
  <w:style w:type="paragraph" w:customStyle="1" w:styleId="TabCorps">
    <w:name w:val="Tab Corps"/>
    <w:basedOn w:val="Normal"/>
    <w:next w:val="Normal"/>
    <w:rsid w:val="009320C9"/>
    <w:rPr>
      <w:rFonts w:ascii="Arial" w:hAnsi="Arial"/>
      <w:sz w:val="16"/>
    </w:rPr>
  </w:style>
  <w:style w:type="paragraph" w:styleId="Rvision">
    <w:name w:val="Revision"/>
    <w:hidden/>
    <w:uiPriority w:val="99"/>
    <w:semiHidden/>
    <w:rsid w:val="00E773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74406">
      <w:bodyDiv w:val="1"/>
      <w:marLeft w:val="0"/>
      <w:marRight w:val="0"/>
      <w:marTop w:val="0"/>
      <w:marBottom w:val="0"/>
      <w:divBdr>
        <w:top w:val="none" w:sz="0" w:space="0" w:color="auto"/>
        <w:left w:val="none" w:sz="0" w:space="0" w:color="auto"/>
        <w:bottom w:val="none" w:sz="0" w:space="0" w:color="auto"/>
        <w:right w:val="none" w:sz="0" w:space="0" w:color="auto"/>
      </w:divBdr>
    </w:div>
    <w:div w:id="1725328637">
      <w:bodyDiv w:val="1"/>
      <w:marLeft w:val="0"/>
      <w:marRight w:val="0"/>
      <w:marTop w:val="0"/>
      <w:marBottom w:val="0"/>
      <w:divBdr>
        <w:top w:val="none" w:sz="0" w:space="0" w:color="auto"/>
        <w:left w:val="none" w:sz="0" w:space="0" w:color="auto"/>
        <w:bottom w:val="none" w:sz="0" w:space="0" w:color="auto"/>
        <w:right w:val="none" w:sz="0" w:space="0" w:color="auto"/>
      </w:divBdr>
    </w:div>
    <w:div w:id="20457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5ADB-8868-431A-A378-774B3980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4354</Words>
  <Characters>23952</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PONSART Maxime (UA 2521)</dc:creator>
  <cp:keywords/>
  <dc:description/>
  <cp:lastModifiedBy>PONSART Maxime (UA 2521)</cp:lastModifiedBy>
  <cp:revision>6</cp:revision>
  <dcterms:created xsi:type="dcterms:W3CDTF">2020-07-07T08:00:00Z</dcterms:created>
  <dcterms:modified xsi:type="dcterms:W3CDTF">2020-07-07T14:51:00Z</dcterms:modified>
</cp:coreProperties>
</file>